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02745ccc64b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1440" w:left="720" w:header="708" w:footer="708" w:gutter="0"/>
      <w:cols w:space="708"/>
      <w:docGrid w:linePitch="360"/>
    </w:sectPr>
    <w:p>
      <w:pPr/>
      <w:r>
        <w:rPr>
          <w:lang w:val="en-US"/>
          <w:rFonts w:ascii="Arial" w:hAnsi="Arial" w:cs="Arial" w:eastAsia="Arial"/>
          <w:sz w:val="36"/>
          <w:szCs w:val="36"/>
          <w:b/>
          <w:u w:val="thick"/>
        </w:rPr>
        <w:t>EVA-PCD FUNCTIONAL PROFILE</w:t>
      </w:r>
    </w:p>
    <w:p>
      <w:pPr>
        <w:spacing w:after="600"/>
      </w:pPr>
    </w:p>
    <w:p>
      <w:pPr>
        <w:tabs>
          <w:tab w:val="left" w:pos="2000" w:leader="none"/>
          <w:tab w:val="left" w:pos="6000" w:leader="none"/>
          <w:tab w:val="left" w:pos="8000" w:leader="none"/>
        </w:tabs>
      </w:pPr>
      <w:r>
        <w:rPr>
          <w:lang w:val="en-US"/>
          <w:sz w:val="20"/>
          <w:szCs w:val="20"/>
          <w:b/>
        </w:rPr>
        <w:t>Patient: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Doe, Jane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Assay Date: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3/28/2018</w:t>
      </w:r>
    </w:p>
    <w:p>
      <w:pPr>
        <w:tabs>
          <w:tab w:val="left" w:pos="2000" w:leader="none"/>
          <w:tab w:val="left" w:pos="6000" w:leader="none"/>
          <w:tab w:val="left" w:pos="8000" w:leader="none"/>
        </w:tabs>
      </w:pPr>
      <w:r>
        <w:rPr>
          <w:lang w:val="en-US"/>
          <w:sz w:val="20"/>
          <w:szCs w:val="20"/>
          <w:b/>
        </w:rPr>
        <w:t>Dx: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Cervical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Assay Quality:</w:t>
      </w:r>
      <w:r>
        <w:rPr>
          <w:lang w:val="en-US"/>
          <w:sz w:val="20"/>
          <w:szCs w:val="20"/>
          <w:b/>
        </w:rPr>
        <w:tab/>
      </w:r>
    </w:p>
    <w:p>
      <w:pPr>
        <w:tabs>
          <w:tab w:val="left" w:pos="2000" w:leader="none"/>
          <w:tab w:val="left" w:pos="6000" w:leader="none"/>
          <w:tab w:val="left" w:pos="8000" w:leader="none"/>
        </w:tabs>
      </w:pPr>
      <w:r>
        <w:rPr>
          <w:lang w:val="en-US"/>
          <w:sz w:val="20"/>
          <w:szCs w:val="20"/>
          <w:b/>
        </w:rPr>
        <w:t>Prior Rx: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Untreated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Report Date: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1/10/2019</w:t>
      </w:r>
    </w:p>
    <w:p>
      <w:pPr>
        <w:tabs>
          <w:tab w:val="left" w:pos="2000" w:leader="none"/>
          <w:tab w:val="left" w:pos="6000" w:leader="none"/>
          <w:tab w:val="left" w:pos="8000" w:leader="none"/>
        </w:tabs>
      </w:pPr>
      <w:r>
        <w:rPr>
          <w:lang w:val="en-US"/>
          <w:sz w:val="20"/>
          <w:szCs w:val="20"/>
          <w:b/>
        </w:rPr>
        <w:t>Physician: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Dr. Doolittle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Specimen Number: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180328.01</w:t>
      </w:r>
    </w:p>
    <w:p>
      <w:pPr>
        <w:spacing w:after="400"/>
      </w:pP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Ex Vivo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Ex Vivo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Ex Vivo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Activity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Synergy</w:t>
      </w:r>
      <w:r>
        <w:rPr>
          <w:lang w:val="en-US"/>
          <w:sz w:val="20"/>
          <w:szCs w:val="20"/>
          <w:b/>
        </w:rPr>
        <w:tab/>
      </w:r>
      <w:r>
        <w:rPr>
          <w:lang w:val="en-US"/>
          <w:sz w:val="20"/>
          <w:szCs w:val="20"/>
          <w:b/>
        </w:rPr>
        <w:t>Interpretation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rFonts w:ascii="Times Roman New" w:hAnsi="Times Roman New" w:cs="Times Roman New" w:eastAsia="Times Roman New"/>
          <w:sz w:val="24"/>
          <w:szCs w:val="24"/>
          <w:b/>
        </w:rPr>
        <w:t>Drug</w:t>
      </w:r>
      <w:r>
        <w:rPr>
          <w:lang w:val="en-US"/>
          <w:rFonts w:ascii="Times Roman New" w:hAnsi="Times Roman New" w:cs="Times Roman New" w:eastAsia="Times Roman New"/>
          <w:sz w:val="24"/>
          <w:szCs w:val="24"/>
          <w:b/>
        </w:rPr>
        <w:tab/>
      </w:r>
      <w:r>
        <w:rPr>
          <w:lang w:val="en-US"/>
          <w:rFonts w:ascii="Times Roman New" w:hAnsi="Times Roman New" w:cs="Times Roman New" w:eastAsia="Times Roman New"/>
          <w:sz w:val="24"/>
          <w:szCs w:val="24"/>
          <w:b/>
        </w:rPr>
        <w:tab/>
      </w:r>
      <w:r>
        <w:rPr>
          <w:lang w:val="en-US"/>
          <w:rFonts w:ascii="Times Roman New" w:hAnsi="Times Roman New" w:cs="Times Roman New" w:eastAsia="Times Roman New"/>
          <w:sz w:val="24"/>
          <w:szCs w:val="24"/>
          <w:b/>
        </w:rPr>
        <w:tab/>
      </w:r>
      <w:r>
        <w:rPr>
          <w:rFonts w:ascii="Times Roman New" w:hAnsi="Times Roman New" w:cs="Times Roman New" w:eastAsia="Times Roman New"/>
        </w:rPr>
        <w:t>Response Expectation</w:t>
      </w:r>
    </w:p>
    <w:p>
      <w:pPr>
        <w:tabs>
          <w:tab w:val="left" w:pos="7800" w:leader="none"/>
        </w:tabs>
      </w:pPr>
      <w:r>
        <w:rPr>
          <w:lang w:val="en-US"/>
          <w:rFonts w:ascii="Times Roman New" w:hAnsi="Times Roman New" w:cs="Times Roman New" w:eastAsia="Times Roman New"/>
          <w:sz w:val="20"/>
          <w:szCs w:val="20"/>
        </w:rPr>
        <w:tab/>
      </w:r>
      <w:r>
        <w:rPr>
          <w:lang w:val="en-US"/>
          <w:rFonts w:ascii="Times Roman New" w:hAnsi="Times Roman New" w:cs="Times Roman New" w:eastAsia="Times Roman New"/>
          <w:sz w:val="20"/>
          <w:szCs w:val="20"/>
        </w:rPr>
        <w:t>Compared with Database</w:t>
      </w:r>
    </w:p>
    <w:p>
      <w:pPr/>
      <w:r>
        <w:rPr>
          <w:lang w:val="en-US"/>
          <w:sz w:val="20"/>
          <w:szCs w:val="20"/>
          <w:b/>
        </w:rPr>
        <w:t>▬▬▬▬▬▬▬▬▬▬▬▬▬▬▬▬▬▬▬▬▬▬▬▬▬▬▬▬▬▬▬▬▬▬▬▬▬▬▬▬▬▬▬▬▬</w:t>
      </w:r>
    </w:p>
    <w:p>
      <w:pPr>
        <w:jc w:val="center"/>
      </w:pPr>
      <w:r>
        <w:rPr>
          <w:lang w:val="en-US"/>
          <w:rFonts w:ascii="Arial" w:hAnsi="Arial" w:cs="Arial" w:eastAsia="Arial"/>
          <w:sz w:val="28"/>
          <w:szCs w:val="28"/>
          <w:b/>
        </w:rPr>
        <w:t>SINGLE DRUG DOSE EFFECT ANALYSIS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Afatinib (HER 1,2,4)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Alpelisib (PI3K)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AZD-4547 (FGFR)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CB-839 (Glutaminase) (Glutaminase)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Crizotinib (ALK/MET/ROS)</w:t>
      </w:r>
      <w:r>
        <w:tab/>
      </w:r>
      <w:r>
        <w:t>Moderately Active</w:t>
      </w:r>
      <w:r>
        <w:tab/>
      </w:r>
      <w:r>
        <w:tab/>
      </w:r>
      <w:r>
        <w:t>Average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Dactolisib (PI3K/mTOR)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Dasatinib (SRC)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Doxorubicin</w:t>
      </w:r>
      <w:r>
        <w:tab/>
      </w:r>
      <w:r>
        <w:t>Intermediate</w:t>
      </w:r>
      <w:r>
        <w:tab/>
      </w:r>
      <w:r>
        <w:tab/>
      </w:r>
      <w:r>
        <w:t>Average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Everolimus (mTOR)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Gefitinib (EGFR)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Imatinib (c-ABL/c-KIT/PDGFR)</w:t>
      </w:r>
      <w:r>
        <w:tab/>
      </w:r>
      <w:r>
        <w:t>Resistant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JQ1 (MYC)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Lapatinib (HER1,2)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Olaparib (PARP)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Palbociclib (CDK4/6)</w:t>
      </w:r>
      <w:r>
        <w:tab/>
      </w:r>
      <w:r>
        <w:t>Moderately Active</w:t>
      </w:r>
      <w:r>
        <w:tab/>
      </w:r>
      <w:r>
        <w:tab/>
      </w:r>
      <w:r>
        <w:t>Average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Pazopanib (VEGF/PDGFR/c-KIT)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Phenformin (Mitochondrial)</w:t>
      </w:r>
      <w:r>
        <w:tab/>
      </w:r>
      <w:r>
        <w:t>Resistant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Selumetinib (MEK)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Tazemetostat (EZH2)</w:t>
      </w:r>
      <w:r>
        <w:tab/>
      </w:r>
      <w:r>
        <w:t>Inactive</w:t>
      </w:r>
      <w:r>
        <w:tab/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Vorinostat (HDAC)</w:t>
      </w:r>
      <w:r>
        <w:tab/>
      </w:r>
      <w:r>
        <w:t>Active</w:t>
      </w:r>
      <w:r>
        <w:tab/>
      </w:r>
      <w:r>
        <w:tab/>
      </w:r>
      <w:r>
        <w:t>** Mapping ???</w:t>
      </w:r>
    </w:p>
    <w:p>
      <w:pPr>
        <w:jc w:val="center"/>
      </w:pPr>
      <w:r>
        <w:rPr>
          <w:lang w:val="en-US"/>
          <w:rFonts w:ascii="Arial" w:hAnsi="Arial" w:cs="Arial" w:eastAsia="Arial"/>
          <w:sz w:val="28"/>
          <w:szCs w:val="28"/>
          <w:b/>
        </w:rPr>
        <w:t>MULTIPLE DRUG DOSE EFFECT ANALYSIS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CB-839 (Glutaminase) &amp; Everolimus</w:t>
      </w:r>
      <w:r>
        <w:tab/>
      </w:r>
      <w:r>
        <w:t>Active</w:t>
      </w:r>
      <w:r>
        <w:tab/>
      </w:r>
      <w:r>
        <w:t>Partial Synergy</w:t>
      </w:r>
      <w:r>
        <w:tab/>
      </w:r>
      <w:r>
        <w:t>** Mapping ???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Cisplatin &amp; Doxorubicin</w:t>
      </w:r>
      <w:r>
        <w:tab/>
      </w:r>
      <w:r>
        <w:t>Intermediate</w:t>
      </w:r>
      <w:r>
        <w:tab/>
      </w:r>
      <w:r>
        <w:t>N/A</w:t>
      </w:r>
      <w:r>
        <w:tab/>
      </w:r>
      <w:r>
        <w:t>Average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Cisplatin &amp; Gemcitabine</w:t>
      </w:r>
      <w:r>
        <w:tab/>
      </w:r>
      <w:r>
        <w:t>Intermediate</w:t>
      </w:r>
      <w:r>
        <w:tab/>
      </w:r>
      <w:r>
        <w:t>N/A</w:t>
      </w:r>
      <w:r>
        <w:tab/>
      </w:r>
      <w:r>
        <w:t>Average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Cisplatin &amp; Gemcitabine &amp; 5-Fu</w:t>
      </w:r>
      <w:r>
        <w:tab/>
      </w:r>
      <w:r>
        <w:t>Sensitive</w:t>
      </w:r>
      <w:r>
        <w:tab/>
      </w:r>
      <w:r>
        <w:t>N/A</w:t>
      </w:r>
      <w:r>
        <w:tab/>
      </w:r>
      <w:r>
        <w:t>Higher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Cisplatin &amp; Taxol</w:t>
      </w:r>
      <w:r>
        <w:tab/>
      </w:r>
      <w:r>
        <w:t>Sensitive</w:t>
      </w:r>
      <w:r>
        <w:tab/>
      </w:r>
      <w:r>
        <w:t>N/A</w:t>
      </w:r>
      <w:r>
        <w:tab/>
      </w:r>
      <w:r>
        <w:t>Higher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Cisplatin &amp; Topotecan</w:t>
      </w:r>
      <w:r>
        <w:tab/>
      </w:r>
      <w:r>
        <w:t>Sensitive</w:t>
      </w:r>
      <w:r>
        <w:tab/>
      </w:r>
      <w:r>
        <w:t>N/A</w:t>
      </w:r>
      <w:r>
        <w:tab/>
      </w:r>
      <w:r>
        <w:t>Higher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Cytoxan &amp; Doxorubicin</w:t>
      </w:r>
      <w:r>
        <w:tab/>
      </w:r>
      <w:r>
        <w:t>Sensitive</w:t>
      </w:r>
      <w:r>
        <w:tab/>
      </w:r>
      <w:r>
        <w:t>N/A</w:t>
      </w:r>
      <w:r>
        <w:tab/>
      </w:r>
      <w:r>
        <w:t>Higher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Cytoxan &amp; Taxol</w:t>
      </w:r>
      <w:r>
        <w:tab/>
      </w:r>
      <w:r>
        <w:t>Resistant</w:t>
      </w:r>
      <w:r>
        <w:tab/>
      </w:r>
      <w:r>
        <w:t>N/A</w:t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Everolimus &amp; Phenformin</w:t>
      </w:r>
      <w:r>
        <w:tab/>
      </w:r>
      <w:r>
        <w:t>Inactive</w:t>
      </w:r>
      <w:r>
        <w:tab/>
      </w:r>
      <w:r>
        <w:t>Antagonism</w:t>
      </w:r>
      <w:r>
        <w:tab/>
      </w:r>
      <w:r>
        <w:t>Lower</w:t>
      </w:r>
    </w:p>
    <w:p>
      <w:pPr>
        <w:tabs>
          <w:tab w:val="left" w:pos="4500" w:leader="none"/>
          <w:tab w:val="left" w:pos="6300" w:leader="none"/>
          <w:tab w:val="left" w:pos="7800" w:leader="none"/>
        </w:tabs>
      </w:pPr>
      <w:r>
        <w:rPr>
          <w:lang w:val="en-US"/>
          <w:sz w:val="20"/>
          <w:szCs w:val="20"/>
        </w:rPr>
        <w:t>Tazemetostat &amp; Vorinostat</w:t>
      </w:r>
      <w:r>
        <w:tab/>
      </w:r>
      <w:r>
        <w:t>Inactive</w:t>
      </w:r>
      <w:r>
        <w:tab/>
      </w:r>
      <w:r>
        <w:t>Antagonism</w:t>
      </w:r>
      <w:r>
        <w:tab/>
      </w:r>
      <w:r>
        <w:t>Lower</w:t>
      </w:r>
    </w:p>
    <w:p>
      <w:pPr>
        <w:spacing w:after="480"/>
      </w:pPr>
    </w:p>
    <w:p>
      <w:pPr/>
      <w:r>
        <w:rPr>
          <w:lang w:val="en-US"/>
          <w:rFonts w:ascii="Arial" w:hAnsi="Arial" w:cs="Arial" w:eastAsia="Arial"/>
          <w:sz w:val="28"/>
          <w:szCs w:val="28"/>
          <w:b/>
        </w:rPr>
        <w:t>DATA ANALYSIS:</w:t>
      </w:r>
    </w:p>
    <w:p>
      <w:pPr/>
      <w:r>
        <w:rPr>
          <w:lang w:val="en-US"/>
          <w:rFonts w:ascii="Arial" w:hAnsi="Arial" w:cs="Arial" w:eastAsia="Arial"/>
          <w:sz w:val="20"/>
          <w:szCs w:val="20"/>
        </w:rPr>
        <w:t>Laboratory results represent only one part of the overall determination of therapy for patients and do not</w:t>
      </w:r>
    </w:p>
    <w:p>
      <w:pPr/>
      <w:r>
        <w:rPr>
          <w:lang w:val="en-US"/>
          <w:rFonts w:ascii="Arial" w:hAnsi="Arial" w:cs="Arial" w:eastAsia="Arial"/>
          <w:sz w:val="20"/>
          <w:szCs w:val="20"/>
        </w:rPr>
        <w:t>guarantee outcomes nor indicate the specific drugs that should be used in a particular patient.</w:t>
      </w:r>
    </w:p>
    <w:p>
      <w:pPr>
        <w:rPr>
          <w:rFonts/>
          <w:sz w:val="20"/>
          <w:szCs w:val="20"/>
        </w:rPr>
      </w:pPr>
    </w:p>
    <w:p>
      <w:pPr/>
      <w:r>
        <w:rPr>
          <w:lang w:val="en-US"/>
          <w:rFonts w:ascii="Arial" w:hAnsi="Arial" w:cs="Arial" w:eastAsia="Arial"/>
          <w:sz w:val="20"/>
          <w:szCs w:val="20"/>
        </w:rPr>
        <w:t>* The following compounds serve as in vitro surrogates for their respective drug classes, e.g., Cytoxan: =</w:t>
      </w:r>
    </w:p>
    <w:p>
      <w:pPr/>
      <w:r>
        <w:rPr>
          <w:lang w:val="en-US"/>
          <w:rFonts w:ascii="Arial" w:hAnsi="Arial" w:cs="Arial" w:eastAsia="Arial"/>
          <w:sz w:val="20"/>
          <w:szCs w:val="20"/>
        </w:rPr>
        <w:t>Cyclophosphamide, Ifosfamide, Melphalan, Chlorambucil and related mustard alkylators; Cisplatin: =</w:t>
      </w:r>
    </w:p>
    <w:p>
      <w:pPr/>
      <w:r>
        <w:rPr>
          <w:lang w:val="en-US"/>
          <w:rFonts w:ascii="Arial" w:hAnsi="Arial" w:cs="Arial" w:eastAsia="Arial"/>
          <w:sz w:val="20"/>
          <w:szCs w:val="20"/>
        </w:rPr>
        <w:t>Carboplatin; Doxorubicin: = Daunorubicin and Idarubicin; Trimetrexate: = Methotrexate; 5Fu + Interferon: =</w:t>
      </w:r>
    </w:p>
    <w:p>
      <w:pPr>
        <w:spacing w:after="480"/>
      </w:pPr>
    </w:p>
    <w:p>
      <w:pPr/>
      <w:r>
        <w:rPr>
          <w:lang w:val="en-US"/>
          <w:rFonts w:ascii="Arial" w:hAnsi="Arial" w:cs="Arial" w:eastAsia="Arial"/>
          <w:sz w:val="24"/>
          <w:szCs w:val="24"/>
          <w:b/>
        </w:rPr>
        <w:t>Ex Vivo best regimen (EVBR®) would be Irinotecan +/ -Cisplatin.</w:t>
      </w:r>
    </w:p>
    <w:p>
      <w:pPr>
        <w:spacing w:after="480"/>
      </w:pPr>
    </w:p>
    <w:p>
      <w:pPr/>
      <w:r>
        <w:rPr>
          <w:lang w:val="en-US"/>
          <w:rFonts w:ascii="Arial" w:hAnsi="Arial" w:cs="Arial" w:eastAsia="Arial"/>
          <w:sz w:val="24"/>
          <w:szCs w:val="24"/>
        </w:rPr>
        <w:t>Robert A. Nagourney, MD</w:t>
      </w:r>
    </w:p>
    <w:p>
      <w:pPr/>
      <w:r>
        <w:rPr>
          <w:lang w:val="en-US"/>
          <w:rFonts w:ascii="Arial" w:hAnsi="Arial" w:cs="Arial" w:eastAsia="Arial"/>
          <w:sz w:val="24"/>
          <w:szCs w:val="24"/>
        </w:rPr>
        <w:t>Laboratory and Medical Director</w:t>
      </w:r>
    </w:p>
    <w:p>
      <w:pPr/>
      <w:r>
        <w:rPr>
          <w:lang w:val="en-US"/>
          <w:rFonts w:ascii="Arial" w:hAnsi="Arial" w:cs="Arial" w:eastAsia="Arial"/>
          <w:sz w:val="24"/>
          <w:szCs w:val="24"/>
        </w:rPr>
        <w:t>Rational Therapeutics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6cb05c54cf42d2" /><Relationship Type="http://schemas.openxmlformats.org/officeDocument/2006/relationships/numbering" Target="/word/numbering.xml" Id="R39204ee95f6d474b" /><Relationship Type="http://schemas.openxmlformats.org/officeDocument/2006/relationships/settings" Target="/word/settings.xml" Id="R3efe2e61f812440a" /></Relationships>
</file>