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cs="Times New Roman" w:ascii="Times New Roman" w:hAnsi="Times New Roman"/>
          <w:b/>
          <w:bCs/>
          <w:sz w:val="24"/>
          <w:szCs w:val="24"/>
        </w:rPr>
      </w:pPr>
      <w:r>
        <w:rPr>
          <w:rFonts w:cs="Times New Roman" w:ascii="Times New Roman" w:hAnsi="Times New Roman"/>
          <w:b/>
          <w:bCs/>
          <w:sz w:val="24"/>
          <w:szCs w:val="24"/>
        </w:rPr>
        <w:tab/>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ind w:left="2160" w:right="0" w:firstLine="720"/>
        <w:jc w:val="both"/>
        <w:rPr>
          <w:rFonts w:cs="Times New Roman" w:ascii="Times New Roman" w:hAnsi="Times New Roman"/>
          <w:b/>
          <w:bCs/>
          <w:sz w:val="24"/>
          <w:szCs w:val="24"/>
          <w:u w:val="single"/>
        </w:rPr>
      </w:pPr>
      <w:r>
        <w:rPr>
          <w:rFonts w:cs="Times New Roman" w:ascii="Times New Roman" w:hAnsi="Times New Roman"/>
          <w:b/>
          <w:bCs/>
          <w:sz w:val="24"/>
          <w:szCs w:val="24"/>
          <w:u w:val="single"/>
        </w:rPr>
        <w:t>Memorandum of Understanding</w:t>
      </w:r>
    </w:p>
    <w:p>
      <w:pPr>
        <w:pStyle w:val="Normal"/>
        <w:spacing w:lineRule="exact" w:line="280"/>
        <w:jc w:val="both"/>
        <w:rPr>
          <w:rFonts w:cs="Times New Roman" w:ascii="Times New Roman" w:hAnsi="Times New Roman"/>
          <w:sz w:val="24"/>
          <w:szCs w:val="24"/>
        </w:rPr>
      </w:pPr>
      <w:r>
        <w:rPr>
          <w:rFonts w:cs="Times New Roman" w:ascii="Times New Roman" w:hAnsi="Times New Roman"/>
          <w:sz w:val="24"/>
          <w:szCs w:val="24"/>
        </w:rPr>
      </w:r>
    </w:p>
    <w:p>
      <w:pPr>
        <w:pStyle w:val="Normal1"/>
        <w:jc w:val="both"/>
        <w:rPr>
          <w:rFonts w:cs="Times New Roman" w:ascii="Times New Roman" w:hAnsi="Times New Roman"/>
          <w:sz w:val="24"/>
          <w:szCs w:val="24"/>
          <w:lang w:val="en-GB"/>
        </w:rPr>
      </w:pPr>
      <w:r>
        <w:rPr>
          <w:rFonts w:cs="Times New Roman" w:ascii="Times New Roman" w:hAnsi="Times New Roman"/>
          <w:sz w:val="24"/>
          <w:szCs w:val="24"/>
          <w:lang w:val="en-GB"/>
        </w:rPr>
        <w:t xml:space="preserve">This Memorandum of Understanding (“MOU”) is made, entered into and executed on this </w:t>
      </w:r>
      <w:r>
        <w:rPr>
          <w:rFonts w:cs="Times New Roman" w:ascii="Times New Roman" w:hAnsi="Times New Roman"/>
          <w:sz w:val="24"/>
          <w:szCs w:val="24"/>
          <w:lang w:val="en-GB"/>
        </w:rPr>
        <w:t>10</w:t>
      </w:r>
      <w:r>
        <w:rPr>
          <w:rFonts w:cs="Times New Roman" w:ascii="Times New Roman" w:hAnsi="Times New Roman"/>
          <w:sz w:val="24"/>
          <w:szCs w:val="24"/>
          <w:vertAlign w:val="superscript"/>
          <w:lang w:val="en-GB"/>
        </w:rPr>
        <w:t>th</w:t>
      </w:r>
      <w:r>
        <w:rPr>
          <w:rFonts w:cs="Times New Roman" w:ascii="Times New Roman" w:hAnsi="Times New Roman"/>
          <w:sz w:val="24"/>
          <w:szCs w:val="24"/>
          <w:lang w:val="en-GB"/>
        </w:rPr>
        <w:t xml:space="preserve"> </w:t>
      </w:r>
      <w:r>
        <w:rPr>
          <w:rFonts w:cs="Times New Roman" w:ascii="Times New Roman" w:hAnsi="Times New Roman"/>
          <w:sz w:val="24"/>
          <w:szCs w:val="24"/>
          <w:lang w:val="en-GB"/>
        </w:rPr>
        <w:t>March</w:t>
      </w:r>
      <w:r>
        <w:rPr>
          <w:rFonts w:cs="Times New Roman" w:ascii="Times New Roman" w:hAnsi="Times New Roman"/>
          <w:sz w:val="24"/>
          <w:szCs w:val="24"/>
          <w:lang w:val="en-GB"/>
        </w:rPr>
        <w:t xml:space="preserve"> 201</w:t>
      </w:r>
      <w:r>
        <w:rPr>
          <w:rFonts w:cs="Times New Roman" w:ascii="Times New Roman" w:hAnsi="Times New Roman"/>
          <w:sz w:val="24"/>
          <w:szCs w:val="24"/>
          <w:lang w:val="en-GB"/>
        </w:rPr>
        <w:t>7</w:t>
      </w:r>
      <w:r>
        <w:rPr>
          <w:rFonts w:cs="Times New Roman" w:ascii="Times New Roman" w:hAnsi="Times New Roman"/>
          <w:sz w:val="24"/>
          <w:szCs w:val="24"/>
          <w:lang w:val="en-GB"/>
        </w:rPr>
        <w:t xml:space="preserve"> at Pune;</w:t>
      </w:r>
    </w:p>
    <w:p>
      <w:pPr>
        <w:pStyle w:val="Normal1"/>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1"/>
        <w:jc w:val="both"/>
        <w:rPr>
          <w:rFonts w:cs="Times New Roman" w:ascii="Times New Roman" w:hAnsi="Times New Roman"/>
          <w:sz w:val="24"/>
          <w:szCs w:val="24"/>
          <w:lang w:val="en-GB"/>
        </w:rPr>
      </w:pPr>
      <w:r>
        <w:rPr>
          <w:rFonts w:cs="Times New Roman" w:ascii="Times New Roman" w:hAnsi="Times New Roman"/>
          <w:sz w:val="24"/>
          <w:szCs w:val="24"/>
          <w:lang w:val="en-GB"/>
        </w:rPr>
        <w:t>Between</w:t>
      </w:r>
    </w:p>
    <w:p>
      <w:pPr>
        <w:pStyle w:val="Normal1"/>
        <w:ind w:left="375" w:right="0" w:hanging="375"/>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pacing w:beforeAutospacing="1" w:afterAutospacing="1"/>
        <w:jc w:val="both"/>
        <w:rPr>
          <w:rFonts w:cs="Times New Roman" w:ascii="Times New Roman" w:hAnsi="Times New Roman"/>
          <w:b/>
          <w:bCs/>
          <w:sz w:val="24"/>
          <w:szCs w:val="24"/>
          <w:lang w:val="en-GB"/>
        </w:rPr>
      </w:pPr>
      <w:r>
        <w:rPr>
          <w:rFonts w:cs="Times New Roman" w:ascii="Times New Roman" w:hAnsi="Times New Roman"/>
          <w:b/>
          <w:sz w:val="24"/>
          <w:szCs w:val="24"/>
          <w:lang w:val="en-GB"/>
        </w:rPr>
        <w:t>TIXDO MEDIA PVT LTD,</w:t>
      </w:r>
      <w:r>
        <w:rPr>
          <w:rFonts w:cs="Times New Roman" w:ascii="Times New Roman" w:hAnsi="Times New Roman"/>
          <w:sz w:val="24"/>
          <w:szCs w:val="24"/>
          <w:lang w:val="en-GB"/>
        </w:rPr>
        <w:t xml:space="preserve"> a company incorporated under the provisions of the Companies Act, 1956, having its registered office at 2B Ground Floor, Mastermind IV, Royal Palms, Aarey Milk Colony, Goregaon East, Mumbai 400065, Maharashtra INDIA and Branch Office at 301, Pentagon 5, 4th floor, Magarpatta City Pune 411028 Maharashtra, INDIA and  hereinafter referred to as </w:t>
      </w:r>
      <w:r>
        <w:rPr>
          <w:rFonts w:cs="Times New Roman" w:ascii="Times New Roman" w:hAnsi="Times New Roman"/>
          <w:b/>
          <w:sz w:val="24"/>
          <w:szCs w:val="24"/>
          <w:lang w:val="en-GB"/>
        </w:rPr>
        <w:t xml:space="preserve">Tixdo </w:t>
      </w:r>
      <w:r>
        <w:rPr>
          <w:rFonts w:cs="Times New Roman" w:ascii="Times New Roman" w:hAnsi="Times New Roman"/>
          <w:sz w:val="24"/>
          <w:szCs w:val="24"/>
          <w:lang w:val="en-GB"/>
        </w:rPr>
        <w:t xml:space="preserve">(which expression shall, unless contrary to the context or meaning thereof, mean and include its affiliates, subsidiaries and assignees) of the </w:t>
      </w:r>
      <w:r>
        <w:rPr>
          <w:rFonts w:cs="Times New Roman" w:ascii="Times New Roman" w:hAnsi="Times New Roman"/>
          <w:b/>
          <w:bCs/>
          <w:sz w:val="24"/>
          <w:szCs w:val="24"/>
          <w:lang w:val="en-GB"/>
        </w:rPr>
        <w:t>FIRST PART;</w:t>
      </w:r>
    </w:p>
    <w:p>
      <w:pPr>
        <w:pStyle w:val="Normal1"/>
        <w:jc w:val="both"/>
        <w:rPr>
          <w:rFonts w:cs="Times New Roman" w:ascii="Times New Roman" w:hAnsi="Times New Roman"/>
          <w:b/>
          <w:bCs/>
          <w:sz w:val="24"/>
          <w:szCs w:val="24"/>
          <w:lang w:val="en-GB"/>
        </w:rPr>
      </w:pPr>
      <w:r>
        <w:rPr>
          <w:rFonts w:cs="Times New Roman" w:ascii="Times New Roman" w:hAnsi="Times New Roman"/>
          <w:b/>
          <w:bCs/>
          <w:sz w:val="24"/>
          <w:szCs w:val="24"/>
          <w:lang w:val="en-GB"/>
        </w:rPr>
      </w:r>
    </w:p>
    <w:p>
      <w:pPr>
        <w:pStyle w:val="Normal1"/>
        <w:jc w:val="both"/>
        <w:rPr>
          <w:rFonts w:cs="Times New Roman" w:ascii="Times New Roman" w:hAnsi="Times New Roman"/>
          <w:sz w:val="24"/>
          <w:szCs w:val="24"/>
          <w:lang w:val="en-GB"/>
        </w:rPr>
      </w:pPr>
      <w:r>
        <w:rPr>
          <w:rFonts w:cs="Times New Roman" w:ascii="Times New Roman" w:hAnsi="Times New Roman"/>
          <w:sz w:val="24"/>
          <w:szCs w:val="24"/>
          <w:lang w:val="en-GB"/>
        </w:rPr>
        <w:t>And</w:t>
      </w:r>
    </w:p>
    <w:p>
      <w:pPr>
        <w:pStyle w:val="Normal1"/>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
        <w:shd w:fill="FFFFFF" w:val="clear"/>
        <w:jc w:val="both"/>
        <w:rPr>
          <w:rFonts w:cs="Times New Roman" w:ascii="Times New Roman" w:hAnsi="Times New Roman"/>
          <w:b/>
          <w:sz w:val="24"/>
          <w:szCs w:val="24"/>
          <w:lang w:val="en-GB"/>
        </w:rPr>
      </w:pPr>
      <w:r>
        <w:rPr>
          <w:b/>
          <w:bCs/>
        </w:rPr>
        <w:t xml:space="preserve">Ediletto </w:t>
      </w:r>
      <w:r>
        <w:rPr>
          <w:rFonts w:cs="Times New Roman" w:ascii="Times New Roman" w:hAnsi="Times New Roman"/>
          <w:sz w:val="24"/>
          <w:szCs w:val="24"/>
        </w:rPr>
        <w:t xml:space="preserve">having its registered office at ….................................................................................................................................................................... and hereinafter referred to as </w:t>
        <w:br/>
      </w:r>
      <w:r>
        <w:rPr>
          <w:rFonts w:cs="Times New Roman" w:ascii="Times New Roman" w:hAnsi="Times New Roman"/>
          <w:b/>
          <w:sz w:val="24"/>
          <w:szCs w:val="24"/>
        </w:rPr>
        <w:t>“Gratitude Run – 23</w:t>
      </w:r>
      <w:r>
        <w:rPr>
          <w:rFonts w:cs="Times New Roman" w:ascii="Times New Roman" w:hAnsi="Times New Roman"/>
          <w:b/>
          <w:sz w:val="24"/>
          <w:szCs w:val="24"/>
          <w:vertAlign w:val="superscript"/>
        </w:rPr>
        <w:t>rd</w:t>
      </w:r>
      <w:r>
        <w:rPr>
          <w:rFonts w:cs="Times New Roman" w:ascii="Times New Roman" w:hAnsi="Times New Roman"/>
          <w:b/>
          <w:sz w:val="24"/>
          <w:szCs w:val="24"/>
        </w:rPr>
        <w:t xml:space="preserve"> April 2017”</w:t>
      </w:r>
      <w:r>
        <w:rPr>
          <w:rFonts w:cs="Times New Roman" w:ascii="Times New Roman" w:hAnsi="Times New Roman"/>
          <w:sz w:val="24"/>
          <w:szCs w:val="24"/>
        </w:rPr>
        <w:t xml:space="preserve"> </w:t>
      </w:r>
      <w:r>
        <w:rPr>
          <w:rFonts w:cs="Times New Roman" w:ascii="Times New Roman" w:hAnsi="Times New Roman"/>
          <w:sz w:val="24"/>
          <w:szCs w:val="24"/>
          <w:lang w:val="en-GB"/>
        </w:rPr>
        <w:t xml:space="preserve">(which expression shall, unless contrary to the context or meaning thereof, mean and include its affiliates, subsidiaries and assignees) of the </w:t>
      </w:r>
      <w:r>
        <w:rPr>
          <w:rFonts w:cs="Times New Roman" w:ascii="Times New Roman" w:hAnsi="Times New Roman"/>
          <w:b/>
          <w:sz w:val="24"/>
          <w:szCs w:val="24"/>
          <w:lang w:val="en-GB"/>
        </w:rPr>
        <w:t>SECOND PART</w:t>
      </w:r>
    </w:p>
    <w:p>
      <w:pPr>
        <w:pStyle w:val="Normal"/>
        <w:shd w:fill="FFFFFF" w:val="clear"/>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Body"/>
        <w:jc w:val="both"/>
        <w:rPr>
          <w:rFonts w:cs="Times New Roman" w:ascii="Times New Roman" w:hAnsi="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 xml:space="preserve">Tixdo Media Pvt. Ltd.” and </w:t>
      </w:r>
      <w:r>
        <w:rPr>
          <w:rFonts w:cs="Times New Roman" w:ascii="Times New Roman" w:hAnsi="Times New Roman"/>
          <w:b/>
          <w:sz w:val="24"/>
          <w:szCs w:val="24"/>
          <w:lang w:val="en-GB"/>
        </w:rPr>
        <w:t>“</w:t>
      </w:r>
      <w:r>
        <w:rPr>
          <w:b/>
          <w:bCs/>
        </w:rPr>
        <w:t>EDiletto</w:t>
      </w:r>
      <w:r>
        <w:rPr>
          <w:rFonts w:cs="Times New Roman" w:ascii="Times New Roman" w:hAnsi="Times New Roman"/>
          <w:b/>
          <w:sz w:val="24"/>
          <w:szCs w:val="24"/>
          <w:lang w:val="en-GB"/>
        </w:rPr>
        <w:t>”</w:t>
      </w:r>
      <w:r>
        <w:rPr>
          <w:rFonts w:cs="Times New Roman" w:ascii="Times New Roman" w:hAnsi="Times New Roman"/>
          <w:sz w:val="24"/>
          <w:szCs w:val="24"/>
          <w:lang w:val="en-GB"/>
        </w:rPr>
        <w:t xml:space="preserve"> shall be hereinafter, wherever the context may so require, collectively referred to as “Parties” and individually as “Party”; </w:t>
      </w:r>
    </w:p>
    <w:p>
      <w:pPr>
        <w:pStyle w:val="Normal"/>
        <w:shd w:fill="FFFFFF" w:val="clear"/>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lang w:val="en-GB"/>
        </w:rPr>
      </w:pPr>
      <w:r>
        <w:rPr>
          <w:rFonts w:cs="Times New Roman" w:ascii="Times New Roman" w:hAnsi="Times New Roman"/>
          <w:sz w:val="24"/>
          <w:szCs w:val="24"/>
          <w:lang w:val="en-GB"/>
        </w:rPr>
      </w:r>
    </w:p>
    <w:p>
      <w:pPr>
        <w:pStyle w:val="Normal1"/>
        <w:jc w:val="both"/>
        <w:rPr>
          <w:rFonts w:cs="Times New Roman" w:ascii="Times New Roman" w:hAnsi="Times New Roman"/>
          <w:b/>
          <w:bCs/>
          <w:sz w:val="24"/>
          <w:szCs w:val="24"/>
          <w:lang w:val="en-GB"/>
        </w:rPr>
      </w:pPr>
      <w:r>
        <w:rPr>
          <w:rFonts w:cs="Times New Roman" w:ascii="Times New Roman" w:hAnsi="Times New Roman"/>
          <w:b/>
          <w:bCs/>
          <w:sz w:val="24"/>
          <w:szCs w:val="24"/>
          <w:lang w:val="en-GB"/>
        </w:rPr>
        <w:t xml:space="preserve">WHEREAS </w:t>
      </w:r>
    </w:p>
    <w:p>
      <w:pPr>
        <w:pStyle w:val="Normal"/>
        <w:shd w:fill="FFFFFF" w:val="clear"/>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overflowPunct w:val="false"/>
        <w:spacing w:lineRule="auto" w:line="264"/>
        <w:jc w:val="both"/>
        <w:rPr>
          <w:rFonts w:cs="Times New Roman" w:ascii="Times New Roman" w:hAnsi="Times New Roman"/>
          <w:sz w:val="24"/>
          <w:szCs w:val="24"/>
        </w:rPr>
      </w:pPr>
      <w:r>
        <w:rPr>
          <w:rFonts w:cs="Times New Roman" w:ascii="Times New Roman" w:hAnsi="Times New Roman"/>
          <w:sz w:val="24"/>
          <w:szCs w:val="24"/>
        </w:rPr>
        <w:t xml:space="preserve">In consideration of having appointed Tixdo as a service provider in terms of this MOU, Tixdo hereby agrees and undertakes that it shall, through its ticketing platform website </w:t>
      </w:r>
      <w:hyperlink r:id="rId2">
        <w:r>
          <w:rPr>
            <w:rStyle w:val="InternetLink"/>
            <w:rFonts w:cs="Times New Roman" w:ascii="Times New Roman" w:hAnsi="Times New Roman"/>
            <w:sz w:val="24"/>
            <w:szCs w:val="24"/>
          </w:rPr>
          <w:t>www.Tixdo.com</w:t>
        </w:r>
      </w:hyperlink>
      <w:r>
        <w:rPr>
          <w:rFonts w:cs="Times New Roman" w:ascii="Times New Roman" w:hAnsi="Times New Roman"/>
          <w:sz w:val="24"/>
          <w:szCs w:val="24"/>
        </w:rPr>
        <w:t xml:space="preserve"> and Mobile Application, be responsible for managing sales for </w:t>
      </w:r>
      <w:r>
        <w:rPr>
          <w:rFonts w:cs="Times New Roman" w:ascii="Times New Roman" w:hAnsi="Times New Roman"/>
          <w:b/>
          <w:sz w:val="24"/>
          <w:szCs w:val="24"/>
        </w:rPr>
        <w:t>“Gratitude Run – 23</w:t>
      </w:r>
      <w:r>
        <w:rPr>
          <w:rFonts w:cs="Times New Roman" w:ascii="Times New Roman" w:hAnsi="Times New Roman"/>
          <w:b/>
          <w:sz w:val="24"/>
          <w:szCs w:val="24"/>
          <w:vertAlign w:val="superscript"/>
        </w:rPr>
        <w:t>rd</w:t>
      </w:r>
      <w:r>
        <w:rPr>
          <w:rFonts w:cs="Times New Roman" w:ascii="Times New Roman" w:hAnsi="Times New Roman"/>
          <w:b/>
          <w:sz w:val="24"/>
          <w:szCs w:val="24"/>
        </w:rPr>
        <w:t xml:space="preserve"> April 2017”</w:t>
      </w:r>
      <w:r>
        <w:rPr>
          <w:rFonts w:cs="Times New Roman" w:ascii="Times New Roman" w:hAnsi="Times New Roman"/>
          <w:bCs/>
          <w:sz w:val="24"/>
          <w:szCs w:val="24"/>
        </w:rPr>
        <w:t>, an event/show organized by</w:t>
      </w:r>
      <w:r>
        <w:rPr>
          <w:rFonts w:cs="Times New Roman" w:ascii="Times New Roman" w:hAnsi="Times New Roman"/>
          <w:b/>
          <w:bCs/>
          <w:sz w:val="24"/>
          <w:szCs w:val="24"/>
        </w:rPr>
        <w:t xml:space="preserve"> EDiletto </w:t>
      </w:r>
      <w:r>
        <w:rPr>
          <w:rFonts w:cs="Times New Roman" w:ascii="Times New Roman" w:hAnsi="Times New Roman"/>
          <w:sz w:val="24"/>
          <w:szCs w:val="24"/>
        </w:rPr>
        <w:t>from remote locations other than the venue, including but not limited to the following:</w:t>
      </w:r>
    </w:p>
    <w:p>
      <w:pPr>
        <w:pStyle w:val="Normal"/>
        <w:spacing w:lineRule="exact" w:line="25"/>
        <w:jc w:val="both"/>
        <w:rPr>
          <w:rFonts w:cs="Times New Roman" w:ascii="Times New Roman" w:hAnsi="Times New Roman"/>
          <w:sz w:val="24"/>
          <w:szCs w:val="24"/>
        </w:rPr>
      </w:pPr>
      <w:r>
        <w:rPr>
          <w:rFonts w:cs="Times New Roman" w:ascii="Times New Roman" w:hAnsi="Times New Roman"/>
          <w:sz w:val="24"/>
          <w:szCs w:val="24"/>
        </w:rPr>
      </w:r>
    </w:p>
    <w:tbl>
      <w:tblPr>
        <w:jc w:val="left"/>
        <w:tblInd w:w="540" w:type="dxa"/>
        <w:tblBorders>
          <w:top w:val="nil"/>
          <w:left w:val="nil"/>
          <w:bottom w:val="nil"/>
          <w:insideH w:val="nil"/>
          <w:right w:val="nil"/>
          <w:insideV w:val="nil"/>
        </w:tblBorders>
        <w:tblCellMar>
          <w:top w:w="0" w:type="dxa"/>
          <w:left w:w="0" w:type="dxa"/>
          <w:bottom w:w="0" w:type="dxa"/>
          <w:right w:w="0" w:type="dxa"/>
        </w:tblCellMar>
      </w:tblPr>
      <w:tblGrid>
        <w:gridCol w:w="398"/>
        <w:gridCol w:w="7699"/>
        <w:gridCol w:w="23"/>
      </w:tblGrid>
      <w:tr>
        <w:trPr>
          <w:trHeight w:val="234" w:hRule="atLeast"/>
          <w:cantSplit w:val="false"/>
        </w:trPr>
        <w:tc>
          <w:tcPr>
            <w:tcW w:w="398"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t>(i)</w:t>
            </w:r>
          </w:p>
        </w:tc>
        <w:tc>
          <w:tcPr>
            <w:tcW w:w="7699"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t>Sales through the Internet to be facilitated through the websites owned</w:t>
            </w:r>
          </w:p>
        </w:tc>
        <w:tc>
          <w:tcPr>
            <w:tcW w:w="23"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r>
          </w:p>
        </w:tc>
      </w:tr>
      <w:tr>
        <w:trPr>
          <w:trHeight w:val="233" w:hRule="atLeast"/>
          <w:cantSplit w:val="false"/>
        </w:trPr>
        <w:tc>
          <w:tcPr>
            <w:tcW w:w="398"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r>
          </w:p>
        </w:tc>
        <w:tc>
          <w:tcPr>
            <w:tcW w:w="7699"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t>or controlled by Tixdo accessible through computers or WAP and GPRS enabled mobile phones;</w:t>
            </w:r>
          </w:p>
        </w:tc>
        <w:tc>
          <w:tcPr>
            <w:tcW w:w="23"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r>
          </w:p>
        </w:tc>
      </w:tr>
      <w:tr>
        <w:trPr>
          <w:trHeight w:val="233" w:hRule="atLeast"/>
          <w:cantSplit w:val="false"/>
        </w:trPr>
        <w:tc>
          <w:tcPr>
            <w:tcW w:w="398"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t>(ii)</w:t>
            </w:r>
          </w:p>
        </w:tc>
        <w:tc>
          <w:tcPr>
            <w:tcW w:w="7699"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t>Sales through voice channels to be facilitated by Tixdo</w:t>
            </w:r>
          </w:p>
        </w:tc>
        <w:tc>
          <w:tcPr>
            <w:tcW w:w="23" w:type="dxa"/>
            <w:tcBorders>
              <w:top w:val="nil"/>
              <w:left w:val="nil"/>
              <w:bottom w:val="nil"/>
              <w:insideH w:val="nil"/>
              <w:right w:val="nil"/>
              <w:insideV w:val="nil"/>
            </w:tcBorders>
            <w:shd w:fill="FFFFFF" w:val="clear"/>
            <w:vAlign w:val="bottom"/>
          </w:tcPr>
          <w:p>
            <w:pPr>
              <w:pStyle w:val="Normal"/>
              <w:jc w:val="both"/>
              <w:rPr>
                <w:rFonts w:cs="Times New Roman" w:ascii="Times New Roman" w:hAnsi="Times New Roman"/>
                <w:sz w:val="24"/>
                <w:szCs w:val="24"/>
              </w:rPr>
            </w:pPr>
            <w:r>
              <w:rPr>
                <w:rFonts w:cs="Times New Roman" w:ascii="Times New Roman" w:hAnsi="Times New Roman"/>
                <w:sz w:val="24"/>
                <w:szCs w:val="24"/>
              </w:rPr>
            </w:r>
          </w:p>
        </w:tc>
      </w:tr>
    </w:tbl>
    <w:p>
      <w:pPr>
        <w:pStyle w:val="Normal"/>
        <w:jc w:val="both"/>
        <w:rPr>
          <w:rFonts w:cs="Times New Roman" w:ascii="Times New Roman" w:hAnsi="Times New Roman"/>
          <w:b/>
          <w:bCs/>
          <w:sz w:val="24"/>
          <w:szCs w:val="24"/>
          <w:u w:val="single"/>
        </w:rPr>
      </w:pPr>
      <w:r>
        <w:rPr>
          <w:rFonts w:cs="Times New Roman" w:ascii="Times New Roman" w:hAnsi="Times New Roman"/>
          <w:b/>
          <w:bCs/>
          <w:sz w:val="24"/>
          <w:szCs w:val="24"/>
          <w:u w:val="single"/>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 xml:space="preserve">Deliverables from </w:t>
      </w:r>
      <w:r>
        <w:rPr>
          <w:rFonts w:cs="Times New Roman" w:ascii="Times New Roman" w:hAnsi="Times New Roman"/>
          <w:b/>
          <w:bCs/>
          <w:sz w:val="24"/>
          <w:szCs w:val="24"/>
        </w:rPr>
        <w:t>EDiletto</w:t>
      </w:r>
      <w:r>
        <w:rPr>
          <w:rFonts w:cs="Times New Roman" w:ascii="Times New Roman" w:hAnsi="Times New Roman"/>
          <w:b/>
          <w:sz w:val="24"/>
          <w:szCs w:val="24"/>
        </w:rPr>
        <w:t>:</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exact" w:line="2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2"/>
        </w:numPr>
        <w:overflowPunct w:val="false"/>
        <w:jc w:val="both"/>
        <w:rPr>
          <w:rFonts w:cs="Times New Roman" w:ascii="Times New Roman" w:hAnsi="Times New Roman"/>
          <w:sz w:val="24"/>
          <w:szCs w:val="24"/>
        </w:rPr>
      </w:pP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the organizer of </w:t>
      </w:r>
      <w:r>
        <w:rPr>
          <w:rFonts w:cs="Times New Roman" w:ascii="Times New Roman" w:hAnsi="Times New Roman"/>
          <w:b w:val="false"/>
          <w:bCs w:val="false"/>
          <w:sz w:val="24"/>
          <w:szCs w:val="24"/>
        </w:rPr>
        <w:t>Gratitude Run – 23</w:t>
      </w:r>
      <w:r>
        <w:rPr>
          <w:rFonts w:cs="Times New Roman" w:ascii="Times New Roman" w:hAnsi="Times New Roman"/>
          <w:b w:val="false"/>
          <w:bCs w:val="false"/>
          <w:sz w:val="24"/>
          <w:szCs w:val="24"/>
          <w:vertAlign w:val="superscript"/>
        </w:rPr>
        <w:t>rd</w:t>
      </w:r>
      <w:r>
        <w:rPr>
          <w:rFonts w:cs="Times New Roman" w:ascii="Times New Roman" w:hAnsi="Times New Roman"/>
          <w:b w:val="false"/>
          <w:bCs w:val="false"/>
          <w:sz w:val="24"/>
          <w:szCs w:val="24"/>
        </w:rPr>
        <w:t xml:space="preserve"> April 2017</w:t>
      </w:r>
      <w:r>
        <w:rPr>
          <w:rFonts w:cs="Times New Roman" w:ascii="Times New Roman" w:hAnsi="Times New Roman"/>
          <w:sz w:val="24"/>
          <w:szCs w:val="24"/>
        </w:rPr>
        <w:t xml:space="preserve"> will provide online information to Tixdo regarding the details of the event to be held, number of tickets to be sold and the price of the ticket inclusive of all taxes.</w:t>
      </w:r>
    </w:p>
    <w:p>
      <w:pPr>
        <w:pStyle w:val="ListParagraph"/>
        <w:numPr>
          <w:ilvl w:val="0"/>
          <w:numId w:val="2"/>
        </w:numPr>
        <w:overflowPunct w:val="false"/>
        <w:jc w:val="both"/>
        <w:rPr>
          <w:rFonts w:cs="Times New Roman" w:ascii="Times New Roman" w:hAnsi="Times New Roman"/>
          <w:sz w:val="24"/>
          <w:szCs w:val="24"/>
        </w:rPr>
      </w:pP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agrees to provide Tixdo’s visibility as on all its communications, with the current running campaign on all communications, Newspapers &amp; SMS communications </w:t>
      </w:r>
    </w:p>
    <w:p>
      <w:pPr>
        <w:pStyle w:val="ListParagraph"/>
        <w:numPr>
          <w:ilvl w:val="0"/>
          <w:numId w:val="2"/>
        </w:numPr>
        <w:overflowPunct w:val="false"/>
        <w:jc w:val="both"/>
        <w:rPr>
          <w:rFonts w:cs="Times New Roman" w:ascii="Times New Roman" w:hAnsi="Times New Roman"/>
          <w:sz w:val="24"/>
          <w:szCs w:val="24"/>
        </w:rPr>
      </w:pP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agrees that Tixdo via its website </w:t>
      </w:r>
      <w:hyperlink r:id="rId3">
        <w:r>
          <w:rPr>
            <w:rStyle w:val="InternetLink"/>
            <w:rFonts w:cs="Times New Roman" w:ascii="Times New Roman" w:hAnsi="Times New Roman"/>
            <w:sz w:val="24"/>
            <w:szCs w:val="24"/>
          </w:rPr>
          <w:t>www.tixdo.com</w:t>
        </w:r>
      </w:hyperlink>
      <w:r>
        <w:rPr>
          <w:rFonts w:cs="Times New Roman" w:ascii="Times New Roman" w:hAnsi="Times New Roman"/>
          <w:sz w:val="24"/>
          <w:szCs w:val="24"/>
        </w:rPr>
        <w:t xml:space="preserve"> and Mobile Application shall be an Online ticketing partner for the event. </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b/>
          <w:sz w:val="24"/>
          <w:szCs w:val="24"/>
        </w:rPr>
      </w:pPr>
      <w:r>
        <w:rPr>
          <w:rFonts w:cs="Times New Roman" w:ascii="Times New Roman" w:hAnsi="Times New Roman"/>
          <w:b/>
          <w:sz w:val="24"/>
          <w:szCs w:val="24"/>
        </w:rPr>
        <w:t>Deliverables from Tixdo:</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exact" w:line="6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3"/>
        </w:numPr>
        <w:overflowPunct w:val="false"/>
        <w:spacing w:lineRule="auto" w:line="218"/>
        <w:jc w:val="both"/>
        <w:rPr>
          <w:rFonts w:cs="Times New Roman" w:ascii="Times New Roman" w:hAnsi="Times New Roman"/>
          <w:sz w:val="24"/>
          <w:szCs w:val="24"/>
        </w:rPr>
      </w:pPr>
      <w:r>
        <w:rPr>
          <w:rFonts w:cs="Times New Roman" w:ascii="Times New Roman" w:hAnsi="Times New Roman"/>
          <w:sz w:val="24"/>
          <w:szCs w:val="24"/>
        </w:rPr>
        <w:t xml:space="preserve">Tixdo shall sell the tickets through their website </w:t>
      </w:r>
      <w:hyperlink r:id="rId4">
        <w:r>
          <w:rPr>
            <w:rStyle w:val="InternetLink"/>
            <w:rFonts w:cs="Times New Roman" w:ascii="Times New Roman" w:hAnsi="Times New Roman"/>
            <w:sz w:val="24"/>
            <w:szCs w:val="24"/>
          </w:rPr>
          <w:t>www.tixdo.com</w:t>
        </w:r>
      </w:hyperlink>
      <w:r>
        <w:rPr>
          <w:rFonts w:cs="Times New Roman" w:ascii="Times New Roman" w:hAnsi="Times New Roman"/>
          <w:sz w:val="24"/>
          <w:szCs w:val="24"/>
        </w:rPr>
        <w:t xml:space="preserve"> and the payment for the same by the customers shall be made online. </w:t>
      </w:r>
    </w:p>
    <w:p>
      <w:pPr>
        <w:pStyle w:val="ListParagraph"/>
        <w:numPr>
          <w:ilvl w:val="0"/>
          <w:numId w:val="3"/>
        </w:numPr>
        <w:overflowPunct w:val="false"/>
        <w:spacing w:lineRule="auto" w:line="218"/>
        <w:jc w:val="both"/>
        <w:rPr>
          <w:rFonts w:cs="Times New Roman" w:ascii="Times New Roman" w:hAnsi="Times New Roman"/>
          <w:sz w:val="24"/>
          <w:szCs w:val="24"/>
        </w:rPr>
      </w:pPr>
      <w:r>
        <w:rPr>
          <w:rFonts w:cs="Times New Roman" w:ascii="Times New Roman" w:hAnsi="Times New Roman"/>
          <w:sz w:val="24"/>
          <w:szCs w:val="24"/>
        </w:rPr>
        <w:t xml:space="preserve">Tixdo shall promote the event through its website and other marketing efforts as elaborated in scope of work using resources through the web. </w:t>
      </w:r>
    </w:p>
    <w:p>
      <w:pPr>
        <w:pStyle w:val="ListParagraph"/>
        <w:numPr>
          <w:ilvl w:val="0"/>
          <w:numId w:val="3"/>
        </w:numPr>
        <w:overflowPunct w:val="false"/>
        <w:spacing w:lineRule="auto" w:line="218"/>
        <w:jc w:val="both"/>
        <w:rPr>
          <w:rFonts w:cs="Times New Roman" w:ascii="Times New Roman" w:hAnsi="Times New Roman"/>
          <w:sz w:val="24"/>
          <w:szCs w:val="24"/>
        </w:rPr>
      </w:pPr>
      <w:r>
        <w:rPr>
          <w:rFonts w:cs="Times New Roman" w:ascii="Times New Roman" w:hAnsi="Times New Roman"/>
          <w:sz w:val="24"/>
          <w:szCs w:val="24"/>
        </w:rPr>
        <w:t xml:space="preserve">Tixdo shall in good faith do its best to promote the event organized by </w:t>
      </w:r>
      <w:r>
        <w:rPr>
          <w:rFonts w:cs="Times New Roman" w:ascii="Times New Roman" w:hAnsi="Times New Roman"/>
          <w:b w:val="false"/>
          <w:bCs w:val="false"/>
          <w:sz w:val="24"/>
          <w:szCs w:val="24"/>
        </w:rPr>
        <w:t>EDiletto</w:t>
      </w:r>
      <w:r>
        <w:rPr>
          <w:rFonts w:cs="Times New Roman" w:ascii="Times New Roman" w:hAnsi="Times New Roman"/>
          <w:sz w:val="24"/>
          <w:szCs w:val="24"/>
        </w:rPr>
        <w:t>.</w:t>
      </w:r>
    </w:p>
    <w:p>
      <w:pPr>
        <w:pStyle w:val="Normal"/>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Normal"/>
        <w:jc w:val="both"/>
        <w:rPr>
          <w:rFonts w:cs="Times New Roman" w:ascii="Times New Roman" w:hAnsi="Times New Roman"/>
          <w:b/>
          <w:sz w:val="24"/>
          <w:szCs w:val="24"/>
          <w:u w:val="single"/>
        </w:rPr>
      </w:pPr>
      <w:r>
        <w:rPr>
          <w:rFonts w:cs="Times New Roman" w:ascii="Times New Roman" w:hAnsi="Times New Roman"/>
          <w:b/>
          <w:sz w:val="24"/>
          <w:szCs w:val="24"/>
          <w:u w:val="single"/>
        </w:rPr>
      </w:r>
    </w:p>
    <w:p>
      <w:pPr>
        <w:pStyle w:val="ListParagraph"/>
        <w:numPr>
          <w:ilvl w:val="0"/>
          <w:numId w:val="1"/>
        </w:numPr>
        <w:jc w:val="both"/>
        <w:rPr>
          <w:rFonts w:cs="Times New Roman" w:ascii="Times New Roman" w:hAnsi="Times New Roman"/>
          <w:b/>
          <w:sz w:val="24"/>
          <w:szCs w:val="24"/>
          <w:u w:val="single"/>
        </w:rPr>
      </w:pPr>
      <w:r>
        <w:rPr>
          <w:rFonts w:cs="Times New Roman" w:ascii="Times New Roman" w:hAnsi="Times New Roman"/>
          <w:b/>
          <w:sz w:val="24"/>
          <w:szCs w:val="24"/>
          <w:u w:val="single"/>
        </w:rPr>
        <w:t xml:space="preserve">Confidentiality </w:t>
      </w:r>
    </w:p>
    <w:p>
      <w:pPr>
        <w:pStyle w:val="Normal"/>
        <w:jc w:val="both"/>
        <w:rPr>
          <w:rFonts w:cs="Times New Roman" w:ascii="Times New Roman" w:hAnsi="Times New Roman"/>
          <w:b/>
          <w:sz w:val="24"/>
          <w:szCs w:val="24"/>
        </w:rPr>
      </w:pPr>
      <w:r>
        <w:rPr>
          <w:rFonts w:cs="Times New Roman" w:ascii="Times New Roman" w:hAnsi="Times New Roman"/>
          <w:b/>
          <w:sz w:val="24"/>
          <w:szCs w:val="24"/>
        </w:rPr>
      </w:r>
    </w:p>
    <w:p>
      <w:pPr>
        <w:pStyle w:val="Normal"/>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Any confidential information that has been disclosed by either party to the other party shall be maintained in the strictest confidence and trust by the non-disclosing party. For the purpose of this clause Confidential Information includes all the details of this MOU, pricing of the event, details regarding sale and promotion of the event, promotion discounts, special offer etc. and the details of the customer/clients of Tixdo that may become known to </w:t>
      </w: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as a result of this MOU. </w:t>
      </w:r>
    </w:p>
    <w:p>
      <w:pPr>
        <w:pStyle w:val="Normal"/>
        <w:spacing w:before="14" w:after="0"/>
        <w:ind w:left="0" w:right="774" w:hanging="0"/>
        <w:jc w:val="both"/>
        <w:rPr>
          <w:rFonts w:eastAsia="Microsoft PhagsPa" w:cs="Times New Roman" w:ascii="Times New Roman" w:hAnsi="Times New Roman"/>
          <w:sz w:val="24"/>
          <w:szCs w:val="24"/>
        </w:rPr>
      </w:pPr>
      <w:r>
        <w:rPr>
          <w:rFonts w:eastAsia="Microsoft PhagsPa" w:cs="Times New Roman" w:ascii="Times New Roman" w:hAnsi="Times New Roman"/>
          <w:sz w:val="24"/>
          <w:szCs w:val="24"/>
        </w:rPr>
      </w:r>
    </w:p>
    <w:p>
      <w:pPr>
        <w:pStyle w:val="Normal"/>
        <w:jc w:val="both"/>
        <w:rPr>
          <w:rFonts w:cs="Times New Roman" w:ascii="Times New Roman" w:hAnsi="Times New Roman"/>
          <w:b/>
          <w:bCs/>
          <w:sz w:val="24"/>
          <w:szCs w:val="24"/>
          <w:u w:val="single"/>
        </w:rPr>
      </w:pPr>
      <w:bookmarkStart w:id="0" w:name="_GoBack"/>
      <w:bookmarkStart w:id="1" w:name="_GoBack"/>
      <w:bookmarkEnd w:id="1"/>
      <w:r>
        <w:rPr>
          <w:rFonts w:cs="Times New Roman" w:ascii="Times New Roman" w:hAnsi="Times New Roman"/>
          <w:b/>
          <w:bCs/>
          <w:sz w:val="24"/>
          <w:szCs w:val="24"/>
          <w:u w:val="single"/>
        </w:rPr>
      </w:r>
    </w:p>
    <w:p>
      <w:pPr>
        <w:pStyle w:val="ListParagraph"/>
        <w:numPr>
          <w:ilvl w:val="0"/>
          <w:numId w:val="1"/>
        </w:numPr>
        <w:jc w:val="both"/>
        <w:rPr>
          <w:rFonts w:cs="Times New Roman" w:ascii="Times New Roman" w:hAnsi="Times New Roman"/>
          <w:b/>
          <w:bCs/>
          <w:sz w:val="24"/>
          <w:szCs w:val="24"/>
          <w:u w:val="single"/>
        </w:rPr>
      </w:pPr>
      <w:r>
        <w:rPr>
          <w:rFonts w:cs="Times New Roman" w:ascii="Times New Roman" w:hAnsi="Times New Roman"/>
          <w:b/>
          <w:bCs/>
          <w:sz w:val="24"/>
          <w:szCs w:val="24"/>
          <w:u w:val="single"/>
        </w:rPr>
        <w:t>Pricing</w:t>
      </w:r>
    </w:p>
    <w:p>
      <w:pPr>
        <w:pStyle w:val="Normal"/>
        <w:spacing w:lineRule="exact" w:line="3"/>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5"/>
        </w:numPr>
        <w:overflowPunct w:val="false"/>
        <w:ind w:left="720" w:right="20" w:hanging="360"/>
        <w:jc w:val="both"/>
        <w:rPr>
          <w:rFonts w:cs="Times New Roman" w:ascii="Times New Roman" w:hAnsi="Times New Roman"/>
          <w:sz w:val="24"/>
          <w:szCs w:val="24"/>
        </w:rPr>
      </w:pPr>
      <w:r>
        <w:rPr>
          <w:rFonts w:cs="Times New Roman" w:ascii="Times New Roman" w:hAnsi="Times New Roman"/>
          <w:sz w:val="24"/>
          <w:szCs w:val="24"/>
        </w:rPr>
        <w:t>The commission paid to Tixdo will be 5% of  the total sale by Tixdo.</w:t>
      </w:r>
    </w:p>
    <w:p>
      <w:pPr>
        <w:pStyle w:val="ListParagraph"/>
        <w:numPr>
          <w:ilvl w:val="0"/>
          <w:numId w:val="5"/>
        </w:numPr>
        <w:overflowPunct w:val="false"/>
        <w:ind w:left="720" w:right="20" w:hanging="360"/>
        <w:jc w:val="both"/>
        <w:rPr>
          <w:rFonts w:cs="Times New Roman" w:ascii="Times New Roman" w:hAnsi="Times New Roman"/>
          <w:sz w:val="24"/>
          <w:szCs w:val="24"/>
        </w:rPr>
      </w:pPr>
      <w:r>
        <w:rPr>
          <w:rFonts w:cs="Times New Roman" w:ascii="Times New Roman" w:hAnsi="Times New Roman"/>
          <w:sz w:val="24"/>
          <w:szCs w:val="24"/>
        </w:rPr>
        <w:t>The end consumer may be charged a convenience fee of Rs.10 To Rs.20 on the /Ticket price.</w:t>
      </w:r>
    </w:p>
    <w:p>
      <w:pPr>
        <w:pStyle w:val="Normal"/>
        <w:jc w:val="both"/>
        <w:rPr>
          <w:rFonts w:cs="Times New Roman" w:ascii="Times New Roman" w:hAnsi="Times New Roman"/>
          <w:b/>
          <w:bCs/>
          <w:sz w:val="24"/>
          <w:szCs w:val="24"/>
          <w:u w:val="single"/>
        </w:rPr>
      </w:pPr>
      <w:r>
        <w:rPr>
          <w:rFonts w:cs="Times New Roman" w:ascii="Times New Roman" w:hAnsi="Times New Roman"/>
          <w:b/>
          <w:bCs/>
          <w:sz w:val="24"/>
          <w:szCs w:val="24"/>
          <w:u w:val="single"/>
        </w:rPr>
      </w:r>
    </w:p>
    <w:p>
      <w:pPr>
        <w:pStyle w:val="ListParagraph"/>
        <w:numPr>
          <w:ilvl w:val="0"/>
          <w:numId w:val="1"/>
        </w:numPr>
        <w:jc w:val="both"/>
        <w:rPr>
          <w:rFonts w:cs="Times New Roman" w:ascii="Times New Roman" w:hAnsi="Times New Roman"/>
          <w:b/>
          <w:bCs/>
          <w:sz w:val="24"/>
          <w:szCs w:val="24"/>
          <w:u w:val="single"/>
        </w:rPr>
      </w:pPr>
      <w:r>
        <w:rPr>
          <w:rFonts w:cs="Times New Roman" w:ascii="Times New Roman" w:hAnsi="Times New Roman"/>
          <w:b/>
          <w:bCs/>
          <w:sz w:val="24"/>
          <w:szCs w:val="24"/>
          <w:u w:val="single"/>
        </w:rPr>
        <w:t>Payments</w:t>
      </w:r>
    </w:p>
    <w:p>
      <w:pPr>
        <w:pStyle w:val="ListParagraph"/>
        <w:ind w:left="720" w:right="0" w:hanging="0"/>
        <w:jc w:val="both"/>
        <w:rPr>
          <w:rFonts w:cs="Times New Roman" w:ascii="Times New Roman" w:hAnsi="Times New Roman"/>
          <w:b/>
          <w:bCs/>
          <w:sz w:val="24"/>
          <w:szCs w:val="24"/>
          <w:u w:val="single"/>
        </w:rPr>
      </w:pPr>
      <w:r>
        <w:rPr>
          <w:rFonts w:cs="Times New Roman" w:ascii="Times New Roman" w:hAnsi="Times New Roman"/>
          <w:b/>
          <w:bCs/>
          <w:sz w:val="24"/>
          <w:szCs w:val="24"/>
          <w:u w:val="single"/>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The payment of tickets sold by Tixdo for the event shall be made via NEFT. Such payment shall be subject to deduction of commission payable to Tixdo.   </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 xml:space="preserve">The payment of the sale of tickets shall be made by Tixdo to </w:t>
      </w: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in the account mentioned below:</w:t>
      </w:r>
    </w:p>
    <w:tbl>
      <w:tblPr>
        <w:jc w:val="left"/>
        <w:tblInd w:w="7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3" w:type="dxa"/>
          <w:bottom w:w="0" w:type="dxa"/>
          <w:right w:w="108" w:type="dxa"/>
        </w:tblCellMar>
      </w:tblPr>
      <w:tblGrid>
        <w:gridCol w:w="4428"/>
        <w:gridCol w:w="4428"/>
      </w:tblGrid>
      <w:tr>
        <w:trPr>
          <w:cantSplit w:val="false"/>
        </w:trPr>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t>Name</w:t>
            </w:r>
          </w:p>
        </w:tc>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t>Account Number</w:t>
            </w:r>
          </w:p>
        </w:tc>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t>Account Type</w:t>
            </w:r>
          </w:p>
        </w:tc>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t>Bank and Branch</w:t>
            </w:r>
          </w:p>
        </w:tc>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r>
          </w:p>
        </w:tc>
      </w:tr>
      <w:tr>
        <w:trPr>
          <w:cantSplit w:val="false"/>
        </w:trPr>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t>IFSC Code</w:t>
            </w:r>
          </w:p>
        </w:tc>
        <w:tc>
          <w:tcPr>
            <w:tcW w:w="44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3" w:type="dxa"/>
            </w:tcMar>
          </w:tcPr>
          <w:p>
            <w:pPr>
              <w:pStyle w:val="ListParagraph"/>
              <w:jc w:val="both"/>
              <w:rPr>
                <w:rFonts w:cs="Times New Roman" w:ascii="Times New Roman" w:hAnsi="Times New Roman"/>
                <w:sz w:val="24"/>
                <w:szCs w:val="24"/>
              </w:rPr>
            </w:pPr>
            <w:r>
              <w:rPr>
                <w:rFonts w:cs="Times New Roman" w:ascii="Times New Roman" w:hAnsi="Times New Roman"/>
                <w:sz w:val="24"/>
                <w:szCs w:val="24"/>
              </w:rPr>
            </w:r>
          </w:p>
        </w:tc>
      </w:tr>
    </w:tbl>
    <w:p>
      <w:pPr>
        <w:pStyle w:val="Normal"/>
        <w:tabs>
          <w:tab w:val="left" w:pos="1060" w:leader="none"/>
        </w:tabs>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exact" w:line="182"/>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b/>
          <w:sz w:val="24"/>
          <w:szCs w:val="24"/>
          <w:u w:val="single"/>
        </w:rPr>
      </w:pPr>
      <w:r>
        <w:rPr>
          <w:rFonts w:cs="Times New Roman" w:ascii="Times New Roman" w:hAnsi="Times New Roman"/>
          <w:b/>
          <w:sz w:val="24"/>
          <w:szCs w:val="24"/>
          <w:u w:val="single"/>
        </w:rPr>
        <w:t>Event Cancellation</w:t>
      </w:r>
    </w:p>
    <w:p>
      <w:pPr>
        <w:pStyle w:val="ListParagraph"/>
        <w:widowControl/>
        <w:numPr>
          <w:ilvl w:val="0"/>
          <w:numId w:val="4"/>
        </w:numPr>
        <w:spacing w:lineRule="auto" w:line="276" w:before="0" w:after="200"/>
        <w:jc w:val="both"/>
        <w:rPr>
          <w:rFonts w:cs="Times New Roman" w:ascii="Times New Roman" w:hAnsi="Times New Roman"/>
          <w:sz w:val="24"/>
          <w:szCs w:val="24"/>
        </w:rPr>
      </w:pP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will have to pay to Tixdo in addition to the commission of the tickets sold, 5% plus applicable government taxes as cancellation charges on the face value of the tickets sold till the official intimation of the cancellation is done. The payment for cancellation charges and commission has to be remitted by </w:t>
      </w:r>
      <w:r>
        <w:rPr>
          <w:rFonts w:cs="Times New Roman" w:ascii="Times New Roman" w:hAnsi="Times New Roman"/>
          <w:b/>
          <w:bCs/>
          <w:sz w:val="24"/>
          <w:szCs w:val="24"/>
        </w:rPr>
        <w:t xml:space="preserve">EDiletto </w:t>
      </w:r>
      <w:r>
        <w:rPr>
          <w:rFonts w:cs="Times New Roman" w:ascii="Times New Roman" w:hAnsi="Times New Roman"/>
          <w:sz w:val="24"/>
          <w:szCs w:val="24"/>
        </w:rPr>
        <w:t xml:space="preserve">in Tixdo’s bank account via NEFT/RTGS within 24 hours after cancellation of the event. </w:t>
      </w:r>
    </w:p>
    <w:p>
      <w:pPr>
        <w:pStyle w:val="ListParagraph"/>
        <w:widowControl/>
        <w:numPr>
          <w:ilvl w:val="0"/>
          <w:numId w:val="4"/>
        </w:numPr>
        <w:spacing w:lineRule="auto" w:line="276" w:before="0" w:after="200"/>
        <w:jc w:val="both"/>
        <w:rPr>
          <w:rFonts w:cs="Times New Roman" w:ascii="Times New Roman" w:hAnsi="Times New Roman"/>
          <w:sz w:val="24"/>
          <w:szCs w:val="24"/>
        </w:rPr>
      </w:pPr>
      <w:r>
        <w:rPr>
          <w:rFonts w:cs="Times New Roman" w:ascii="Times New Roman" w:hAnsi="Times New Roman"/>
          <w:sz w:val="24"/>
          <w:szCs w:val="24"/>
        </w:rPr>
        <w:t xml:space="preserve">In the event of cancellation of the event, Tixdo shall refund the amount to the customers who have bought the tickets for the cancelled event. </w:t>
      </w:r>
    </w:p>
    <w:p>
      <w:pPr>
        <w:pStyle w:val="TextBody"/>
        <w:numPr>
          <w:ilvl w:val="0"/>
          <w:numId w:val="1"/>
        </w:numPr>
        <w:jc w:val="both"/>
        <w:rPr>
          <w:rFonts w:cs="Times New Roman" w:ascii="Times New Roman" w:hAnsi="Times New Roman"/>
          <w:b/>
          <w:sz w:val="24"/>
          <w:szCs w:val="24"/>
          <w:u w:val="single"/>
        </w:rPr>
      </w:pPr>
      <w:r>
        <w:rPr>
          <w:rFonts w:cs="Times New Roman" w:ascii="Times New Roman" w:hAnsi="Times New Roman"/>
          <w:b/>
          <w:sz w:val="24"/>
          <w:szCs w:val="24"/>
          <w:u w:val="single"/>
        </w:rPr>
        <w:t>Jurisdiction and Dispute Resolution:</w:t>
      </w:r>
    </w:p>
    <w:p>
      <w:pPr>
        <w:pStyle w:val="ListParagraph"/>
        <w:spacing w:lineRule="exact" w:line="182"/>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All disputes arising under this Agreement shall be referred to arbitration which shall be governed by the Arbitration and Conciliation Act, 1956. The arbitration shall be conducted by a sole arbitrator to be appointed by mutual consent of the Parties and the place of Arbitration shall be Pune. The Proceeding of Arbitration to be conducted in English language.</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b/>
          <w:sz w:val="24"/>
          <w:szCs w:val="24"/>
          <w:u w:val="single"/>
        </w:rPr>
        <w:t>Intellectual Property Rights</w:t>
      </w:r>
      <w:r>
        <w:rPr>
          <w:rFonts w:cs="Times New Roman" w:ascii="Times New Roman" w:hAnsi="Times New Roman"/>
          <w:sz w:val="24"/>
          <w:szCs w:val="24"/>
        </w:rPr>
        <w:t>:</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bookmarkStart w:id="2" w:name="__DdeLink__356_996573788"/>
      <w:r>
        <w:rPr>
          <w:rFonts w:cs="Times New Roman" w:ascii="Times New Roman" w:hAnsi="Times New Roman"/>
          <w:b w:val="false"/>
          <w:bCs w:val="false"/>
          <w:sz w:val="24"/>
          <w:szCs w:val="24"/>
        </w:rPr>
        <w:t>EDiletto</w:t>
      </w:r>
      <w:bookmarkEnd w:id="2"/>
      <w:r>
        <w:rPr>
          <w:rFonts w:cs="Times New Roman" w:ascii="Times New Roman" w:hAnsi="Times New Roman"/>
          <w:sz w:val="24"/>
          <w:szCs w:val="24"/>
        </w:rPr>
        <w:t xml:space="preserve"> shall permit Tixdo to use their trademark for the sole purpose of representation as the Organizer of the event unless otherwise agreed upon. Similarly, Tixdo shall permit </w:t>
      </w:r>
      <w:r>
        <w:rPr>
          <w:rFonts w:cs="Times New Roman" w:ascii="Times New Roman" w:hAnsi="Times New Roman"/>
          <w:b w:val="false"/>
          <w:bCs w:val="false"/>
          <w:sz w:val="24"/>
          <w:szCs w:val="24"/>
        </w:rPr>
        <w:t>EDiletto</w:t>
      </w:r>
      <w:r>
        <w:rPr>
          <w:rFonts w:cs="Times New Roman" w:ascii="Times New Roman" w:hAnsi="Times New Roman"/>
          <w:sz w:val="24"/>
          <w:szCs w:val="24"/>
        </w:rPr>
        <w:t xml:space="preserve"> to use their trademark for the sole purpose of representation as an Online ticketing partner on </w:t>
      </w:r>
      <w:hyperlink r:id="rId5">
        <w:r>
          <w:rPr>
            <w:rStyle w:val="InternetLink"/>
            <w:rFonts w:cs="Times New Roman" w:ascii="Times New Roman" w:hAnsi="Times New Roman"/>
            <w:sz w:val="24"/>
            <w:szCs w:val="24"/>
          </w:rPr>
          <w:t>www.tixdo.com</w:t>
        </w:r>
      </w:hyperlink>
      <w:r>
        <w:rPr>
          <w:rFonts w:cs="Times New Roman" w:ascii="Times New Roman" w:hAnsi="Times New Roman"/>
          <w:sz w:val="24"/>
          <w:szCs w:val="24"/>
        </w:rPr>
        <w:t xml:space="preserve">  website and/or any other platform they shall use to promote the said event.</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Other than the permission to use the trademarks for the sole purpose of representation, unless otherwise agreed in writing, the Parties severally undertake not to use or permit their respective personnel, agents, employees and representatives to use any of the intellectual property rights of the other Party in any sales, marketing or promotion related publications or advertisements or use such intellectual property in any manner except with the prior written approval of the other Party.</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b/>
          <w:sz w:val="24"/>
          <w:szCs w:val="24"/>
          <w:u w:val="single"/>
        </w:rPr>
        <w:t>Tenure and Termination</w:t>
      </w:r>
      <w:r>
        <w:rPr>
          <w:rFonts w:cs="Times New Roman" w:ascii="Times New Roman" w:hAnsi="Times New Roman"/>
          <w:sz w:val="24"/>
          <w:szCs w:val="24"/>
        </w:rPr>
        <w:t>:</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This MOU shall be valid for a period starting from 14</w:t>
      </w:r>
      <w:r>
        <w:rPr>
          <w:rFonts w:cs="Times New Roman" w:ascii="Times New Roman" w:hAnsi="Times New Roman"/>
          <w:sz w:val="24"/>
          <w:szCs w:val="24"/>
          <w:vertAlign w:val="superscript"/>
        </w:rPr>
        <w:t>th</w:t>
      </w:r>
      <w:r>
        <w:rPr>
          <w:rFonts w:cs="Times New Roman" w:ascii="Times New Roman" w:hAnsi="Times New Roman"/>
          <w:sz w:val="24"/>
          <w:szCs w:val="24"/>
        </w:rPr>
        <w:t xml:space="preserve"> March to 23</w:t>
      </w:r>
      <w:r>
        <w:rPr>
          <w:rFonts w:cs="Times New Roman" w:ascii="Times New Roman" w:hAnsi="Times New Roman"/>
          <w:sz w:val="24"/>
          <w:szCs w:val="24"/>
          <w:vertAlign w:val="superscript"/>
        </w:rPr>
        <w:t>rd</w:t>
      </w:r>
      <w:r>
        <w:rPr>
          <w:rFonts w:cs="Times New Roman" w:ascii="Times New Roman" w:hAnsi="Times New Roman"/>
          <w:sz w:val="24"/>
          <w:szCs w:val="24"/>
        </w:rPr>
        <w:t xml:space="preserve"> April 2017 (“Tenure”) unless terminated earlier as provided herein.</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Either Party shall be entitled to terminate this MOU if the other Party commits breach of the terms, conditions, representations and warranties of this MOU and fails to cure the same within a period of 30 days from the date of receipt of notice to cure in this regard.</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widowControl/>
        <w:numPr>
          <w:ilvl w:val="0"/>
          <w:numId w:val="1"/>
        </w:numPr>
        <w:spacing w:lineRule="auto" w:line="256" w:before="0" w:after="160"/>
        <w:contextualSpacing/>
        <w:jc w:val="both"/>
        <w:rPr>
          <w:rFonts w:cs="Times New Roman" w:ascii="Times New Roman" w:hAnsi="Times New Roman"/>
          <w:sz w:val="24"/>
          <w:szCs w:val="24"/>
        </w:rPr>
      </w:pPr>
      <w:r>
        <w:rPr>
          <w:rFonts w:cs="Times New Roman" w:ascii="Times New Roman" w:hAnsi="Times New Roman"/>
          <w:b/>
          <w:sz w:val="24"/>
          <w:szCs w:val="24"/>
          <w:u w:val="single"/>
        </w:rPr>
        <w:t>Severability</w:t>
      </w:r>
      <w:r>
        <w:rPr>
          <w:rFonts w:cs="Times New Roman" w:ascii="Times New Roman" w:hAnsi="Times New Roman"/>
          <w:sz w:val="24"/>
          <w:szCs w:val="24"/>
        </w:rPr>
        <w:t>:</w:t>
      </w:r>
    </w:p>
    <w:p>
      <w:pPr>
        <w:pStyle w:val="ListParagraph"/>
        <w:widowControl/>
        <w:spacing w:lineRule="auto" w:line="256" w:before="0" w:after="160"/>
        <w:ind w:left="720" w:right="0" w:hanging="0"/>
        <w:contextualSpacing/>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Severability: Except as may be expressly provided to the contrary herein, each provision of this Agreement shall be considered separate and divisible, and in the event that any such provision is held to be invalid, void or unenforceable by a court of competent jurisdiction, the remaining provisions shall continue to be in full force and effect without being impaired or invalidated in any way.</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sz w:val="24"/>
          <w:szCs w:val="24"/>
        </w:rPr>
      </w:pPr>
      <w:r>
        <w:rPr>
          <w:rFonts w:cs="Times New Roman" w:ascii="Times New Roman" w:hAnsi="Times New Roman"/>
          <w:b/>
          <w:sz w:val="24"/>
          <w:szCs w:val="24"/>
          <w:u w:val="single"/>
        </w:rPr>
        <w:t>Force Majeure</w:t>
      </w:r>
      <w:r>
        <w:rPr>
          <w:rFonts w:cs="Times New Roman" w:ascii="Times New Roman" w:hAnsi="Times New Roman"/>
          <w:sz w:val="24"/>
          <w:szCs w:val="24"/>
        </w:rPr>
        <w:t>:</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No party shall be liable for any failure or delay in its performance due to circumstances beyond its reasonable control, provided that it notifies the other parties as soon as practicable and uses its best efforts to resume performance.</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1"/>
        <w:numPr>
          <w:ilvl w:val="0"/>
          <w:numId w:val="1"/>
        </w:numPr>
        <w:jc w:val="both"/>
        <w:rPr>
          <w:rStyle w:val="None"/>
          <w:rFonts w:cs="Times New Roman" w:ascii="Times New Roman" w:hAnsi="Times New Roman"/>
          <w:sz w:val="24"/>
          <w:szCs w:val="24"/>
          <w:lang w:val="en-GB"/>
        </w:rPr>
      </w:pPr>
      <w:r>
        <w:rPr>
          <w:rStyle w:val="None"/>
          <w:rFonts w:cs="Times New Roman" w:ascii="Times New Roman" w:hAnsi="Times New Roman"/>
          <w:b/>
          <w:sz w:val="24"/>
          <w:szCs w:val="24"/>
          <w:u w:val="single"/>
          <w:lang w:val="en-GB"/>
        </w:rPr>
        <w:t>Amendment</w:t>
      </w:r>
      <w:r>
        <w:rPr>
          <w:rStyle w:val="None"/>
          <w:rFonts w:cs="Times New Roman" w:ascii="Times New Roman" w:hAnsi="Times New Roman"/>
          <w:sz w:val="24"/>
          <w:szCs w:val="24"/>
          <w:lang w:val="en-GB"/>
        </w:rPr>
        <w:t xml:space="preserve">: </w:t>
      </w:r>
    </w:p>
    <w:p>
      <w:pPr>
        <w:pStyle w:val="Normal1"/>
        <w:ind w:left="720" w:right="0" w:hanging="0"/>
        <w:jc w:val="both"/>
        <w:rPr>
          <w:rFonts w:cs="Times New Roman" w:ascii="Times New Roman" w:hAnsi="Times New Roman"/>
          <w:b/>
          <w:sz w:val="24"/>
          <w:szCs w:val="24"/>
          <w:u w:val="single" w:color="000000"/>
          <w:lang w:val="en-GB"/>
        </w:rPr>
      </w:pPr>
      <w:r>
        <w:rPr>
          <w:rFonts w:cs="Times New Roman" w:ascii="Times New Roman" w:hAnsi="Times New Roman"/>
          <w:b/>
          <w:sz w:val="24"/>
          <w:szCs w:val="24"/>
          <w:u w:val="single" w:color="000000"/>
          <w:lang w:val="en-GB"/>
        </w:rPr>
      </w:r>
    </w:p>
    <w:p>
      <w:pPr>
        <w:pStyle w:val="Normal1"/>
        <w:ind w:left="720" w:right="0" w:hanging="0"/>
        <w:jc w:val="both"/>
        <w:rPr>
          <w:rStyle w:val="None"/>
          <w:rFonts w:cs="Times New Roman" w:ascii="Times New Roman" w:hAnsi="Times New Roman"/>
          <w:sz w:val="24"/>
          <w:szCs w:val="24"/>
          <w:lang w:val="en-GB"/>
        </w:rPr>
      </w:pPr>
      <w:r>
        <w:rPr>
          <w:rStyle w:val="None"/>
          <w:rFonts w:cs="Times New Roman" w:ascii="Times New Roman" w:hAnsi="Times New Roman"/>
          <w:sz w:val="24"/>
          <w:szCs w:val="24"/>
          <w:lang w:val="en-GB"/>
        </w:rPr>
        <w:t>This MOU may be modified, varied or amended only by a written instrument duly executed by the Parties respectively and signed accordingly.</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jc w:val="both"/>
        <w:rPr>
          <w:rFonts w:cs="Times New Roman" w:ascii="Times New Roman" w:hAnsi="Times New Roman"/>
          <w:b/>
          <w:sz w:val="24"/>
          <w:szCs w:val="24"/>
          <w:u w:val="single"/>
        </w:rPr>
      </w:pPr>
      <w:r>
        <w:rPr>
          <w:rFonts w:cs="Times New Roman" w:ascii="Times New Roman" w:hAnsi="Times New Roman"/>
          <w:b/>
          <w:sz w:val="24"/>
          <w:szCs w:val="24"/>
          <w:u w:val="single"/>
        </w:rPr>
        <w:t xml:space="preserve">Notices </w:t>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ind w:left="720" w:right="0" w:hanging="0"/>
        <w:jc w:val="both"/>
        <w:rPr>
          <w:rFonts w:cs="Times New Roman" w:ascii="Times New Roman" w:hAnsi="Times New Roman"/>
          <w:sz w:val="24"/>
          <w:szCs w:val="24"/>
        </w:rPr>
      </w:pPr>
      <w:r>
        <w:rPr>
          <w:rFonts w:cs="Times New Roman" w:ascii="Times New Roman" w:hAnsi="Times New Roman"/>
          <w:sz w:val="24"/>
          <w:szCs w:val="24"/>
        </w:rPr>
        <w:t>Any notice or other communication that is required or permitted to be given under the terms of this Agreement ("Notice") must be in writing and will be deemed given (a) when personally delivered, or (b) when sent by RPAD to the addresses given above.</w:t>
      </w:r>
    </w:p>
    <w:p>
      <w:pPr>
        <w:pStyle w:val="Normal"/>
        <w:ind w:left="5040" w:right="0" w:hanging="504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ind w:left="5040" w:right="0" w:hanging="5040"/>
        <w:jc w:val="both"/>
        <w:rPr>
          <w:rFonts w:cs="Times New Roman" w:ascii="Times New Roman" w:hAnsi="Times New Roman"/>
          <w:b/>
          <w:bCs/>
          <w:sz w:val="24"/>
          <w:szCs w:val="24"/>
        </w:rPr>
      </w:pPr>
      <w:r>
        <w:rPr>
          <w:rFonts w:cs="Times New Roman" w:ascii="Times New Roman" w:hAnsi="Times New Roman"/>
          <w:b/>
          <w:bCs/>
          <w:sz w:val="24"/>
          <w:szCs w:val="24"/>
        </w:rPr>
      </w:r>
    </w:p>
    <w:p>
      <w:pPr>
        <w:pStyle w:val="Normal"/>
        <w:ind w:left="5040" w:right="0" w:hanging="5040"/>
        <w:jc w:val="both"/>
        <w:rPr>
          <w:rFonts w:cs="Times New Roman" w:ascii="Times New Roman" w:hAnsi="Times New Roman"/>
          <w:b/>
          <w:bCs/>
          <w:sz w:val="24"/>
          <w:szCs w:val="24"/>
        </w:rPr>
      </w:pPr>
      <w:r>
        <w:rPr>
          <w:rFonts w:cs="Times New Roman" w:ascii="Times New Roman" w:hAnsi="Times New Roman"/>
          <w:b/>
          <w:bCs/>
          <w:sz w:val="24"/>
          <w:szCs w:val="24"/>
        </w:rPr>
        <w:t>For Tixdo Media Private Limited</w:t>
        <w:tab/>
        <w:t>For EDiletto</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Authorized Signatory </w:t>
        <w:tab/>
        <w:tab/>
        <w:tab/>
        <w:tab/>
        <w:tab/>
        <w:t xml:space="preserve">Authorized Signatory </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t>Name:</w:t>
        <w:tab/>
        <w:tab/>
        <w:tab/>
        <w:tab/>
        <w:tab/>
        <w:tab/>
        <w:tab/>
        <w:t>Name:</w:t>
      </w:r>
    </w:p>
    <w:p>
      <w:pPr>
        <w:pStyle w:val="Normal"/>
        <w:jc w:val="both"/>
        <w:rPr>
          <w:rFonts w:cs="Times New Roman" w:ascii="Times New Roman" w:hAnsi="Times New Roman"/>
          <w:sz w:val="24"/>
          <w:szCs w:val="24"/>
        </w:rPr>
      </w:pPr>
      <w:r>
        <w:rPr>
          <w:rFonts w:cs="Times New Roman" w:ascii="Times New Roman" w:hAnsi="Times New Roman"/>
          <w:sz w:val="24"/>
          <w:szCs w:val="24"/>
        </w:rPr>
        <w:t>Designation:</w:t>
        <w:tab/>
        <w:tab/>
        <w:tab/>
        <w:tab/>
        <w:tab/>
        <w:tab/>
        <w:t xml:space="preserve">Designation: </w:t>
      </w:r>
    </w:p>
    <w:p>
      <w:pPr>
        <w:pStyle w:val="Normal"/>
        <w:spacing w:before="14" w:after="0"/>
        <w:ind w:left="94" w:right="774" w:hanging="0"/>
        <w:jc w:val="both"/>
        <w:rPr>
          <w:rFonts w:eastAsia="Microsoft PhagsPa" w:cs="Times New Roman" w:ascii="Times New Roman" w:hAnsi="Times New Roman"/>
          <w:sz w:val="24"/>
          <w:szCs w:val="24"/>
        </w:rPr>
      </w:pPr>
      <w:r>
        <w:rPr>
          <w:rFonts w:eastAsia="Microsoft PhagsPa" w:cs="Times New Roman" w:ascii="Times New Roman" w:hAnsi="Times New Roman"/>
          <w:sz w:val="24"/>
          <w:szCs w:val="24"/>
        </w:rPr>
      </w:r>
    </w:p>
    <w:p>
      <w:pPr>
        <w:pStyle w:val="Normal"/>
        <w:spacing w:before="14" w:after="0"/>
        <w:ind w:left="94" w:right="774" w:hanging="0"/>
        <w:jc w:val="both"/>
        <w:rPr>
          <w:rFonts w:eastAsia="Microsoft PhagsPa" w:cs="Times New Roman" w:ascii="Times New Roman" w:hAnsi="Times New Roman"/>
          <w:sz w:val="24"/>
          <w:szCs w:val="24"/>
        </w:rPr>
      </w:pPr>
      <w:r>
        <w:rPr>
          <w:rFonts w:eastAsia="Microsoft PhagsPa" w:cs="Times New Roman" w:ascii="Times New Roman" w:hAnsi="Times New Roman"/>
          <w:sz w:val="24"/>
          <w:szCs w:val="24"/>
        </w:rPr>
      </w:r>
    </w:p>
    <w:p>
      <w:pPr>
        <w:pStyle w:val="Normal"/>
        <w:spacing w:lineRule="exact" w:line="306"/>
        <w:ind w:left="0" w:right="773" w:hanging="0"/>
        <w:jc w:val="both"/>
        <w:rPr/>
      </w:pPr>
      <w:r>
        <w:rPr/>
      </w:r>
    </w:p>
    <w:sectPr>
      <w:type w:val="nextPage"/>
      <w:pgSz w:w="11906" w:h="16838"/>
      <w:pgMar w:left="1020" w:right="340" w:header="0" w:top="420" w:footer="0" w:bottom="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icrosoft PhagsP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7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uiPriority w:val="1"/>
    <w:qFormat/>
    <w:rsid w:val="00b01d20"/>
    <w:pPr>
      <w:widowControl/>
      <w:suppressAutoHyphens w:val="true"/>
      <w:bidi w:val="0"/>
      <w:jc w:val="left"/>
    </w:pPr>
    <w:rPr>
      <w:rFonts w:ascii="Calibri" w:hAnsi="Calibri" w:eastAsia="Droid Sans Fallback" w:cs=""/>
      <w:color w:val="00000A"/>
      <w:sz w:val="22"/>
      <w:szCs w:val="22"/>
      <w:lang w:val="en-US" w:eastAsia="en-US" w:bidi="ar-SA"/>
    </w:rPr>
  </w:style>
  <w:style w:type="paragraph" w:styleId="Heading1">
    <w:name w:val="Heading 1"/>
    <w:uiPriority w:val="1"/>
    <w:qFormat/>
    <w:rsid w:val="00b01d20"/>
    <w:basedOn w:val="Normal"/>
    <w:pPr>
      <w:spacing w:before="31" w:after="0"/>
      <w:ind w:left="6323" w:right="0" w:hanging="0"/>
      <w:outlineLvl w:val="0"/>
    </w:pPr>
    <w:rPr>
      <w:rFonts w:ascii="Microsoft PhagsPa" w:hAnsi="Microsoft PhagsPa" w:eastAsia="Microsoft PhagsPa"/>
      <w:sz w:val="18"/>
      <w:szCs w:val="18"/>
    </w:rPr>
  </w:style>
  <w:style w:type="character" w:styleId="DefaultParagraphFont" w:default="1">
    <w:name w:val="Default Paragraph Font"/>
    <w:uiPriority w:val="1"/>
    <w:semiHidden/>
    <w:unhideWhenUsed/>
    <w:rPr/>
  </w:style>
  <w:style w:type="character" w:styleId="BodyText2Char" w:customStyle="1">
    <w:name w:val="Body Text 2 Char"/>
    <w:uiPriority w:val="99"/>
    <w:semiHidden/>
    <w:link w:val="BodyText2"/>
    <w:rsid w:val="00ad77b0"/>
    <w:basedOn w:val="DefaultParagraphFont"/>
    <w:rPr>
      <w:rFonts w:ascii="Calibri" w:hAnsi="Calibri" w:eastAsia="Times New Roman" w:cs="Times New Roman"/>
      <w:lang w:val="en-IN" w:eastAsia="en-IN"/>
    </w:rPr>
  </w:style>
  <w:style w:type="character" w:styleId="Appleconvertedspace" w:customStyle="1">
    <w:name w:val="apple-converted-space"/>
    <w:rsid w:val="00cb233c"/>
    <w:basedOn w:val="DefaultParagraphFont"/>
    <w:rPr/>
  </w:style>
  <w:style w:type="character" w:styleId="Emphasis">
    <w:name w:val="Emphasis"/>
    <w:uiPriority w:val="20"/>
    <w:qFormat/>
    <w:rsid w:val="00566d38"/>
    <w:basedOn w:val="DefaultParagraphFont"/>
    <w:rPr>
      <w:i/>
      <w:iCs/>
    </w:rPr>
  </w:style>
  <w:style w:type="character" w:styleId="InternetLink">
    <w:name w:val="Internet Link"/>
    <w:uiPriority w:val="99"/>
    <w:unhideWhenUsed/>
    <w:rsid w:val="003467c5"/>
    <w:basedOn w:val="DefaultParagraphFont"/>
    <w:rPr>
      <w:color w:val="0000FF"/>
      <w:u w:val="single"/>
      <w:lang w:val="zxx" w:eastAsia="zxx" w:bidi="zxx"/>
    </w:rPr>
  </w:style>
  <w:style w:type="character" w:styleId="None" w:customStyle="1">
    <w:name w:val="None"/>
    <w:rsid w:val="002e5f17"/>
    <w:rPr/>
  </w:style>
  <w:style w:type="character" w:styleId="ListLabel1">
    <w:name w:val="ListLabel 1"/>
    <w:rPr>
      <w:rFonts w:cs="Courier New"/>
    </w:rPr>
  </w:style>
  <w:style w:type="character" w:styleId="ListLabel2">
    <w:name w:val="ListLabel 2"/>
    <w:rPr>
      <w:b/>
      <w:bCs/>
      <w:caps w:val="false"/>
      <w:smallCaps w:val="false"/>
      <w:strike w:val="false"/>
      <w:dstrike w:val="false"/>
      <w:outline w:val="false"/>
      <w:emboss w:val="false"/>
      <w:imprint w:val="false"/>
      <w:spacing w:val="0"/>
      <w:w w:val="100"/>
      <w:position w:val="0"/>
      <w:sz w:val="22"/>
      <w:sz w:val="22"/>
      <w:vertAlign w:val="baseline"/>
    </w:rPr>
  </w:style>
  <w:style w:type="character" w:styleId="ListLabel3">
    <w:name w:val="ListLabel 3"/>
    <w:rPr>
      <w:b/>
    </w:rPr>
  </w:style>
  <w:style w:type="character" w:styleId="ListLabel4">
    <w:name w:val="ListLabel 4"/>
    <w:rPr>
      <w:b w:val="false"/>
    </w:rPr>
  </w:style>
  <w:style w:type="character" w:styleId="ListLabel5">
    <w:name w:val="ListLabel 5"/>
    <w:rPr>
      <w:b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rsid w:val="00b01d20"/>
    <w:basedOn w:val="Normal"/>
    <w:pPr>
      <w:spacing w:lineRule="auto" w:line="288" w:before="0" w:after="140"/>
      <w:ind w:left="94" w:right="0" w:hanging="0"/>
    </w:pPr>
    <w:rPr>
      <w:rFonts w:ascii="Microsoft PhagsPa" w:hAnsi="Microsoft PhagsPa" w:eastAsia="Microsoft PhagsPa"/>
      <w:sz w:val="17"/>
      <w:szCs w:val="17"/>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01d20"/>
    <w:basedOn w:val="Normal"/>
    <w:pPr/>
    <w:rPr/>
  </w:style>
  <w:style w:type="paragraph" w:styleId="TableParagraph" w:customStyle="1">
    <w:name w:val="Table Paragraph"/>
    <w:uiPriority w:val="1"/>
    <w:qFormat/>
    <w:rsid w:val="00b01d20"/>
    <w:basedOn w:val="Normal"/>
    <w:pPr/>
    <w:rPr/>
  </w:style>
  <w:style w:type="paragraph" w:styleId="BodyText2">
    <w:name w:val="Body Text 2"/>
    <w:uiPriority w:val="99"/>
    <w:semiHidden/>
    <w:unhideWhenUsed/>
    <w:link w:val="BodyText2Char"/>
    <w:rsid w:val="00ad77b0"/>
    <w:basedOn w:val="Normal"/>
    <w:pPr>
      <w:widowControl/>
      <w:spacing w:lineRule="auto" w:line="480" w:before="0" w:after="120"/>
    </w:pPr>
    <w:rPr>
      <w:rFonts w:ascii="Calibri" w:hAnsi="Calibri" w:eastAsia="Times New Roman" w:cs="Times New Roman"/>
      <w:lang w:val="en-IN" w:eastAsia="en-IN"/>
    </w:rPr>
  </w:style>
  <w:style w:type="paragraph" w:styleId="Normal1" w:customStyle="1">
    <w:name w:val="Normal1"/>
    <w:rsid w:val="00952520"/>
    <w:pPr>
      <w:widowControl/>
      <w:suppressAutoHyphens w:val="true"/>
      <w:bidi w:val="0"/>
      <w:jc w:val="left"/>
    </w:pPr>
    <w:rPr>
      <w:rFonts w:ascii="Calibri" w:hAnsi="Calibri" w:eastAsia="Calibri" w:cs="Calibri"/>
      <w:color w:val="000000"/>
      <w:sz w:val="22"/>
      <w:szCs w:val="22"/>
      <w:u w:val="none" w:color="000000"/>
      <w:lang w:val="en-US" w:eastAsia="en-US" w:bidi="ar-SA"/>
    </w:rPr>
  </w:style>
  <w:style w:type="paragraph" w:styleId="Body" w:customStyle="1">
    <w:name w:val="Body"/>
    <w:rsid w:val="00dc3d81"/>
    <w:pPr>
      <w:widowControl/>
      <w:suppressAutoHyphens w:val="true"/>
      <w:bidi w:val="0"/>
      <w:jc w:val="left"/>
    </w:pPr>
    <w:rPr>
      <w:rFonts w:ascii="Calibri" w:hAnsi="Calibri" w:eastAsia="Calibri" w:cs="Calibri"/>
      <w:color w:val="000000"/>
      <w:sz w:val="22"/>
      <w:szCs w:val="22"/>
      <w:u w:val="none" w:color="000000"/>
      <w:lang w:val="fr-FR" w:eastAsia="en-US" w:bidi="ar-SA"/>
    </w:rPr>
  </w:style>
  <w:style w:type="numbering" w:styleId="NoList" w:default="1">
    <w:name w:val="No List"/>
    <w:uiPriority w:val="99"/>
    <w:semiHidden/>
    <w:unhideWhenUsed/>
  </w:style>
  <w:style w:type="numbering" w:styleId="ImportedStyle4" w:customStyle="1">
    <w:name w:val="Imported Style 4"/>
    <w:rsid w:val="002e5f17"/>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xdo.com/" TargetMode="External"/><Relationship Id="rId3" Type="http://schemas.openxmlformats.org/officeDocument/2006/relationships/hyperlink" Target="http://www.tixdo.com/" TargetMode="External"/><Relationship Id="rId4" Type="http://schemas.openxmlformats.org/officeDocument/2006/relationships/hyperlink" Target="http://www.tixdo.com/" TargetMode="External"/><Relationship Id="rId5" Type="http://schemas.openxmlformats.org/officeDocument/2006/relationships/hyperlink" Target="http://www.tixdo.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2016-08-17T10:18:00Z</dcterms:created>
  <dc:creator>HP</dc:creator>
  <dc:language>en-IN</dc:language>
  <cp:lastModifiedBy>Prashant Patil</cp:lastModifiedBy>
  <dcterms:modified xsi:type="dcterms:W3CDTF">2016-10-18T12:40:00Z</dcterms:modified>
  <cp:revision>27</cp:revision>
</cp:coreProperties>
</file>