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b/>
          <w:bCs/>
          <w:color w:val="1F3A5F"/>
          <w:sz w:val="46"/>
          <w:szCs w:val="46"/>
        </w:rPr>
        <w:t xml:space="preserve">THE QUALITY MARKET</w:t>
      </w:r>
    </w:p>
    <w:p>
      <w:pPr>
        <w:pBdr>
          <w:bottom w:val="single" w:color="B08D57" w:sz="12" w:space="10"/>
        </w:pBdr>
        <w:spacing w:after="40"/>
        <w:jc w:val="center"/>
      </w:pPr>
      <w:r>
        <w:rPr>
          <w:color w:val="444444"/>
          <w:sz w:val="30"/>
          <w:szCs w:val="30"/>
        </w:rPr>
        <w:t xml:space="preserve">Kigali Go-to-Market &amp; Marketing Strategy</w:t>
      </w:r>
    </w:p>
    <w:p>
      <w:pPr>
        <w:spacing w:after="300"/>
      </w:pPr>
    </w:p>
    <w:p>
      <w:pPr>
        <w:spacing w:after="60"/>
        <w:jc w:val="center"/>
      </w:pPr>
      <w:r>
        <w:rPr>
          <w:i/>
          <w:iCs/>
          <w:color w:val="444444"/>
          <w:sz w:val="22"/>
          <w:szCs w:val="22"/>
        </w:rPr>
        <w:t xml:space="preserve">Winning multi-vendor e-commerce in Kigali, Rwanda</w:t>
      </w:r>
    </w:p>
    <w:p>
      <w:pPr>
        <w:spacing w:after="1400"/>
      </w:pPr>
    </w:p>
    <w:p>
      <w:pPr>
        <w:jc w:val="center"/>
      </w:pPr>
      <w:r>
        <w:rPr>
          <w:color w:val="666666"/>
          <w:sz w:val="20"/>
          <w:szCs w:val="20"/>
        </w:rPr>
        <w:t xml:space="preserve">Prepared for Schiphtan</w:t>
      </w:r>
    </w:p>
    <w:p>
      <w:pPr>
        <w:jc w:val="center"/>
      </w:pPr>
      <w:r>
        <w:rPr>
          <w:color w:val="666666"/>
          <w:sz w:val="20"/>
          <w:szCs w:val="20"/>
        </w:rPr>
        <w:t xml:space="preserve">July 2026</w:t>
      </w:r>
    </w:p>
    <w:p>
      <w:pPr>
        <w:sectPr>
          <w:pgSz w:w="12240" w:h="15840" w:orient="portrait"/>
          <w:pgMar w:top="1440" w:right="1350" w:bottom="1440" w:left="1350" w:header="708" w:footer="708" w:gutter="0"/>
          <w:pgNumType/>
          <w:docGrid w:linePitch="360"/>
        </w:sectPr>
      </w:pPr>
    </w:p>
    <w:p>
      <w:pPr>
        <w:pStyle w:val="Heading1"/>
        <w:pBdr>
          <w:bottom w:val="single" w:color="1F3A5F" w:sz="8" w:space="4"/>
        </w:pBdr>
        <w:spacing w:after="200" w:before="400"/>
      </w:pPr>
      <w:r>
        <w:t xml:space="preserve">1. Executive Summary</w:t>
      </w:r>
    </w:p>
    <w:p>
      <w:pPr>
        <w:spacing w:after="160" w:line="276"/>
      </w:pPr>
      <w:r>
        <w:rPr>
          <w:color w:val="222222"/>
          <w:sz w:val="22"/>
          <w:szCs w:val="22"/>
        </w:rPr>
        <w:t xml:space="preserve">The Quality Market enters Kigali with a real structural advantage most competitors lack: a purpose-built local logistics engine (pooled, GPS-tracked, OTP-verified delivery), escrow-protected payments, and a multi-vendor marketplace with approval workflows and reviews. The Rwandan e-commerce market is still young and trust-constrained, which is exactly the gap this platform is engineered to close.</w:t>
      </w:r>
    </w:p>
    <w:p>
      <w:pPr>
        <w:spacing w:after="160" w:line="276"/>
      </w:pPr>
      <w:r>
        <w:rPr>
          <w:color w:val="222222"/>
          <w:sz w:val="22"/>
          <w:szCs w:val="22"/>
        </w:rPr>
        <w:t xml:space="preserve">Social media ads and influencers are a reasonable starting instinct, but on their own they will not differentiate the platform or build the trust that Rwandan online shoppers are still missing. This strategy keeps paid social and influencers as one pillar among several — paired with WhatsApp commerce, vendor-led growth, trust-building content, diaspora marketing, SEO, and on-the-ground activation in Kigali — and sequences them so spend goes toward trust before it goes toward reach.</w:t>
      </w:r>
    </w:p>
    <w:p>
      <w:pPr>
        <w:spacing w:after="160" w:line="276"/>
      </w:pPr>
      <w:r>
        <w:rPr>
          <w:color w:val="222222"/>
          <w:sz w:val="22"/>
          <w:szCs w:val="22"/>
        </w:rPr>
        <w:t xml:space="preserve">The core competitive bet: win on the delivery and trust experience, not on being the biggest or the cheapest marketplace. Kigali shoppers already default to Facebook Marketplace, Instagram, and WhatsApp status posts from individual sellers — an informal, unprotected version of what The Quality Market formalizes. That informal behavior is the real competitor to convert, more than any single named platform.</w:t>
      </w:r>
    </w:p>
    <w:p>
      <w:pPr>
        <w:pStyle w:val="Heading1"/>
        <w:pBdr>
          <w:bottom w:val="single" w:color="1F3A5F" w:sz="8" w:space="4"/>
        </w:pBdr>
        <w:spacing w:after="200" w:before="400"/>
      </w:pPr>
      <w:r>
        <w:t xml:space="preserve">2. The Kigali Opportunity</w:t>
      </w:r>
    </w:p>
    <w:p>
      <w:pPr>
        <w:spacing w:after="160" w:line="276"/>
      </w:pPr>
      <w:r>
        <w:rPr>
          <w:color w:val="222222"/>
          <w:sz w:val="22"/>
          <w:szCs w:val="22"/>
        </w:rPr>
        <w:t xml:space="preserve">Nationally, Rwanda's digital numbers look modest: about 34% internet penetration and roughly 9% active social media use across a population of 14.7 million, most of it rural. Kigali is a different market entirely. Urban internet usage runs around 57% versus 19% in rural areas, and roughly 80% of Kigali households own a mobile phone versus far lower rural figures. Kigali is where Rwanda's digital economy actually lives, which is exactly why it is the right place to concentrate — not spread — the marketing budget.</w:t>
      </w:r>
    </w:p>
    <w:p>
      <w:pPr>
        <w:spacing w:after="160" w:line="276"/>
      </w:pPr>
      <w:r>
        <w:rPr>
          <w:color w:val="222222"/>
          <w:sz w:val="22"/>
          <w:szCs w:val="22"/>
        </w:rPr>
        <w:t xml:space="preserve">A few data points should shape every channel decision below:</w:t>
      </w:r>
    </w:p>
    <w:p>
      <w:pPr>
        <w:pStyle w:val="ListParagraph"/>
        <w:numPr>
          <w:ilvl w:val="0"/>
          <w:numId w:val="2"/>
        </w:numPr>
        <w:spacing w:after="100" w:line="270"/>
      </w:pPr>
      <w:r>
        <w:rPr>
          <w:b/>
          <w:bCs/>
          <w:sz w:val="22"/>
          <w:szCs w:val="22"/>
        </w:rPr>
        <w:t xml:space="preserve">Mobile money is the payment default, not card. </w:t>
      </w:r>
      <w:r>
        <w:rPr>
          <w:sz w:val="22"/>
          <w:szCs w:val="22"/>
        </w:rPr>
        <w:t xml:space="preserve">MTN Mobile Money has over 6.3 million monthly active users nationally and roughly 77% of adults use mobile money services. Messaging that leads with “Pay with MoMo” will always outperform generic “secure checkout” language.</w:t>
      </w:r>
    </w:p>
    <w:p>
      <w:pPr>
        <w:pStyle w:val="ListParagraph"/>
        <w:numPr>
          <w:ilvl w:val="0"/>
          <w:numId w:val="2"/>
        </w:numPr>
        <w:spacing w:after="100" w:line="270"/>
      </w:pPr>
      <w:r>
        <w:rPr>
          <w:b/>
          <w:bCs/>
          <w:sz w:val="22"/>
          <w:szCs w:val="22"/>
        </w:rPr>
        <w:t xml:space="preserve">The population is young. </w:t>
      </w:r>
      <w:r>
        <w:rPr>
          <w:sz w:val="22"/>
          <w:szCs w:val="22"/>
        </w:rPr>
        <w:t xml:space="preserve">Median age is 19.9. A large share of the addressable audience is students and young professionals in Kigali — campus and youth-channel tactics are not a nice-to-have, they are core.</w:t>
      </w:r>
    </w:p>
    <w:p>
      <w:pPr>
        <w:pStyle w:val="ListParagraph"/>
        <w:numPr>
          <w:ilvl w:val="0"/>
          <w:numId w:val="2"/>
        </w:numPr>
        <w:spacing w:after="100" w:line="270"/>
      </w:pPr>
      <w:r>
        <w:rPr>
          <w:b/>
          <w:bCs/>
          <w:sz w:val="22"/>
          <w:szCs w:val="22"/>
        </w:rPr>
        <w:t xml:space="preserve">Facebook still leads reach; TikTok is where growth is happening. </w:t>
      </w:r>
      <w:r>
        <w:rPr>
          <w:sz w:val="22"/>
          <w:szCs w:val="22"/>
        </w:rPr>
        <w:t xml:space="preserve">Facebook has the largest ad-reachable audience (~1.35M) and skews male (~58–61%). Instagram is smaller (~576K) but growing over 24% year-on-year. TikTok adoption is accelerating fastest among under-25s. WhatsApp is not a paid ad channel but is the backbone of how Rwandans actually discover and discuss products.</w:t>
      </w:r>
    </w:p>
    <w:p>
      <w:pPr>
        <w:pStyle w:val="ListParagraph"/>
        <w:numPr>
          <w:ilvl w:val="0"/>
          <w:numId w:val="2"/>
        </w:numPr>
        <w:spacing w:after="100" w:line="270"/>
      </w:pPr>
      <w:r>
        <w:rPr>
          <w:b/>
          <w:bCs/>
          <w:sz w:val="22"/>
          <w:szCs w:val="22"/>
        </w:rPr>
        <w:t xml:space="preserve">Trust, not access, is the binding constraint. </w:t>
      </w:r>
      <w:r>
        <w:rPr>
          <w:sz w:val="22"/>
          <w:szCs w:val="22"/>
        </w:rPr>
        <w:t xml:space="preserve">Research on Rwandan e-commerce adoption consistently flags skepticism toward online sellers, past bad experiences, and discomfort prepaying a stranger, over connectivity, as the main barrier to online buying.</w:t>
      </w:r>
    </w:p>
    <w:p>
      <w:pPr>
        <w:pStyle w:val="Heading1"/>
        <w:pBdr>
          <w:bottom w:val="single" w:color="1F3A5F" w:sz="8" w:space="4"/>
        </w:pBdr>
        <w:spacing w:after="200" w:before="400"/>
      </w:pPr>
      <w:r>
        <w:t xml:space="preserve">3. Competitive Landscape</w:t>
      </w:r>
    </w:p>
    <w:p>
      <w:pPr>
        <w:spacing w:after="160" w:line="276"/>
      </w:pPr>
      <w:r>
        <w:rPr>
          <w:color w:val="222222"/>
          <w:sz w:val="22"/>
          <w:szCs w:val="22"/>
        </w:rPr>
        <w:t xml:space="preserve">The field is more open than it looks. Jumia, the one large pan-African platform that tried to serve Rwanda generically, withdrew from the market in 2021 — a useful cautionary tale: broad, one-size-fits-Africa logistics does not survive contact with Kigali's last mile. No remaining player has combined a genuine multi-vendor marketplace with real-time tracked, escrow-protected delivery. That combination is the opening.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700"/>
        <w:gridCol w:w="2800"/>
      </w:tblGrid>
      <w:tr>
        <w:trPr>
          <w:tblHeader/>
        </w:trPr>
        <w:tc>
          <w:tcPr>
            <w:tcW w:type="dxa" w:w="2300"/>
            <w:shd w:fill="1F3A5F" w:val="clear"/>
            <w:tcMar>
              <w:top w:type="dxa" w:w="80"/>
              <w:left w:type="dxa" w:w="100"/>
              <w:bottom w:type="dxa" w:w="80"/>
              <w:right w:type="dxa" w:w="100"/>
            </w:tcMar>
            <w:vAlign w:val="center"/>
          </w:tcPr>
          <w:p>
            <w:pPr>
              <w:spacing w:after="0"/>
            </w:pPr>
            <w:r>
              <w:rPr>
                <w:b/>
                <w:bCs/>
                <w:color w:val="FFFFFF"/>
                <w:sz w:val="20"/>
                <w:szCs w:val="20"/>
              </w:rPr>
              <w:t xml:space="preserve">Player</w:t>
            </w:r>
          </w:p>
        </w:tc>
        <w:tc>
          <w:tcPr>
            <w:tcW w:type="dxa" w:w="3000"/>
            <w:shd w:fill="1F3A5F" w:val="clear"/>
            <w:tcMar>
              <w:top w:type="dxa" w:w="80"/>
              <w:left w:type="dxa" w:w="100"/>
              <w:bottom w:type="dxa" w:w="80"/>
              <w:right w:type="dxa" w:w="100"/>
            </w:tcMar>
            <w:vAlign w:val="center"/>
          </w:tcPr>
          <w:p>
            <w:pPr>
              <w:spacing w:after="0"/>
            </w:pPr>
            <w:r>
              <w:rPr>
                <w:b/>
                <w:bCs/>
                <w:color w:val="FFFFFF"/>
                <w:sz w:val="20"/>
                <w:szCs w:val="20"/>
              </w:rPr>
              <w:t xml:space="preserve">What they are</w:t>
            </w:r>
          </w:p>
        </w:tc>
        <w:tc>
          <w:tcPr>
            <w:tcW w:type="dxa" w:w="2700"/>
            <w:shd w:fill="1F3A5F" w:val="clear"/>
            <w:tcMar>
              <w:top w:type="dxa" w:w="80"/>
              <w:left w:type="dxa" w:w="100"/>
              <w:bottom w:type="dxa" w:w="80"/>
              <w:right w:type="dxa" w:w="100"/>
            </w:tcMar>
            <w:vAlign w:val="center"/>
          </w:tcPr>
          <w:p>
            <w:pPr>
              <w:spacing w:after="0"/>
            </w:pPr>
            <w:r>
              <w:rPr>
                <w:b/>
                <w:bCs/>
                <w:color w:val="FFFFFF"/>
                <w:sz w:val="20"/>
                <w:szCs w:val="20"/>
              </w:rPr>
              <w:t xml:space="preserve">Strength</w:t>
            </w:r>
          </w:p>
        </w:tc>
        <w:tc>
          <w:tcPr>
            <w:tcW w:type="dxa" w:w="2800"/>
            <w:shd w:fill="1F3A5F" w:val="clear"/>
            <w:tcMar>
              <w:top w:type="dxa" w:w="80"/>
              <w:left w:type="dxa" w:w="100"/>
              <w:bottom w:type="dxa" w:w="80"/>
              <w:right w:type="dxa" w:w="100"/>
            </w:tcMar>
            <w:vAlign w:val="center"/>
          </w:tcPr>
          <w:p>
            <w:pPr>
              <w:spacing w:after="0"/>
            </w:pPr>
            <w:r>
              <w:rPr>
                <w:b/>
                <w:bCs/>
                <w:color w:val="FFFFFF"/>
                <w:sz w:val="20"/>
                <w:szCs w:val="20"/>
              </w:rPr>
              <w:t xml:space="preserve">Where they're exposed</w:t>
            </w:r>
          </w:p>
        </w:tc>
      </w:tr>
      <w:tr>
        <w:tc>
          <w:tcPr>
            <w:tcW w:type="dxa" w:w="23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Murukali.com</w:t>
            </w:r>
          </w:p>
        </w:tc>
        <w:tc>
          <w:tcPr>
            <w:tcW w:type="dxa" w:w="30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General multi-vendor marketplace (groceries, electronics, cosmetics, gifts); live since 2015, ships to diaspora worldwide</w:t>
            </w:r>
          </w:p>
        </w:tc>
        <w:tc>
          <w:tcPr>
            <w:tcW w:type="dxa" w:w="27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First-mover brand recognition; existing seller base; diaspora shipping angle</w:t>
            </w:r>
          </w:p>
        </w:tc>
        <w:tc>
          <w:tcPr>
            <w:tcW w:type="dxa" w:w="28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No live-tracked local delivery or OTP handover; dated shopping experience; trust signals (reviews, escrow) are not a visible differentiator</w:t>
            </w:r>
          </w:p>
        </w:tc>
      </w:tr>
      <w:tr>
        <w:tc>
          <w:tcPr>
            <w:tcW w:type="dxa" w:w="23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SokoMall</w:t>
            </w:r>
          </w:p>
        </w:tc>
        <w:tc>
          <w:tcPr>
            <w:tcW w:type="dxa" w:w="30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Grocery / electronics / household marketplace</w:t>
            </w:r>
          </w:p>
        </w:tc>
        <w:tc>
          <w:tcPr>
            <w:tcW w:type="dxa" w:w="27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Free delivery above a 40,000 RWF threshold</w:t>
            </w:r>
          </w:p>
        </w:tc>
        <w:tc>
          <w:tcPr>
            <w:tcW w:type="dxa" w:w="28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Delivery reliability not marketed as a feature; threshold-gated free shipping penalizes smaller, more frequent orders</w:t>
            </w:r>
          </w:p>
        </w:tc>
      </w:tr>
      <w:tr>
        <w:tc>
          <w:tcPr>
            <w:tcW w:type="dxa" w:w="23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Vuba Vuba</w:t>
            </w:r>
          </w:p>
        </w:tc>
        <w:tc>
          <w:tcPr>
            <w:tcW w:type="dxa" w:w="30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On-demand food &amp; local retail delivery (not a durable-goods marketplace)</w:t>
            </w:r>
          </w:p>
        </w:tc>
        <w:tc>
          <w:tcPr>
            <w:tcW w:type="dxa" w:w="27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Strong brand for fast, trackable delivery; large rider network; already trained Kigali on the idea of watching your delivery arrive</w:t>
            </w:r>
          </w:p>
        </w:tc>
        <w:tc>
          <w:tcPr>
            <w:tcW w:type="dxa" w:w="28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Not a marketplace for general merchandise, stores, or reviews — an adjacent category, not a direct substitute</w:t>
            </w:r>
          </w:p>
        </w:tc>
      </w:tr>
      <w:tr>
        <w:tc>
          <w:tcPr>
            <w:tcW w:type="dxa" w:w="23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Kasha</w:t>
            </w:r>
          </w:p>
        </w:tc>
        <w:tc>
          <w:tcPr>
            <w:tcW w:type="dxa" w:w="30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Niche health, beauty and FMCG delivery; USSD-accessible, discreet packaging, agent network</w:t>
            </w:r>
          </w:p>
        </w:tc>
        <w:tc>
          <w:tcPr>
            <w:tcW w:type="dxa" w:w="27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Deep trust-building via discretion and accessibility for underserved users</w:t>
            </w:r>
          </w:p>
        </w:tc>
        <w:tc>
          <w:tcPr>
            <w:tcW w:type="dxa" w:w="28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Narrow category focus; not a general marketplace competitor</w:t>
            </w:r>
          </w:p>
        </w:tc>
      </w:tr>
      <w:tr>
        <w:tc>
          <w:tcPr>
            <w:tcW w:type="dxa" w:w="23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Ubuy / Dubuy</w:t>
            </w:r>
          </w:p>
        </w:tc>
        <w:tc>
          <w:tcPr>
            <w:tcW w:type="dxa" w:w="30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Cross-border import marketplaces (electronics, luxury goods)</w:t>
            </w:r>
          </w:p>
        </w:tc>
        <w:tc>
          <w:tcPr>
            <w:tcW w:type="dxa" w:w="27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Access to international catalog</w:t>
            </w:r>
          </w:p>
        </w:tc>
        <w:tc>
          <w:tcPr>
            <w:tcW w:type="dxa" w:w="28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Long delivery times; no same-city experience; different job-to-be-done (import vs. local same-day)</w:t>
            </w:r>
          </w:p>
        </w:tc>
      </w:tr>
      <w:tr>
        <w:tc>
          <w:tcPr>
            <w:tcW w:type="dxa" w:w="23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Facebook / Instagram / WhatsApp informal sellers</w:t>
            </w:r>
          </w:p>
        </w:tc>
        <w:tc>
          <w:tcPr>
            <w:tcW w:type="dxa" w:w="30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Thousands of individual sellers posting directly, no platform</w:t>
            </w:r>
          </w:p>
        </w:tc>
        <w:tc>
          <w:tcPr>
            <w:tcW w:type="dxa" w:w="27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Zero friction to list; audience is already there; huge existing volume</w:t>
            </w:r>
          </w:p>
        </w:tc>
        <w:tc>
          <w:tcPr>
            <w:tcW w:type="dxa" w:w="28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No buyer protection, no verified reviews, no returns, no delivery tracking — the exact gaps this platform closes</w:t>
            </w:r>
          </w:p>
        </w:tc>
      </w:tr>
    </w:tbl>
    <w:p>
      <w:pPr>
        <w:spacing w:after="160"/>
      </w:pPr>
    </w:p>
    <w:p>
      <w:pPr>
        <w:pStyle w:val="Heading2"/>
        <w:spacing w:after="140" w:before="280"/>
      </w:pPr>
      <w:r>
        <w:t xml:space="preserve">How to read this</w:t>
      </w:r>
    </w:p>
    <w:p>
      <w:pPr>
        <w:spacing w:after="160" w:line="276"/>
      </w:pPr>
      <w:r>
        <w:rPr>
          <w:color w:val="222222"/>
          <w:sz w:val="22"/>
          <w:szCs w:val="22"/>
        </w:rPr>
        <w:t xml:space="preserve">Murukali is the closest like-for-like competitor and the one to benchmark against directly. Vuba Vuba is not a marketplace competitor, but it is the brand that already taught Kigali to expect and trust live delivery tracking — that consumer education works in this platform's favor and can be referenced implicitly in creative (“watch your order the whole way, every time”). The single largest pool of “competing” transaction volume is informal social selling on Facebook, Instagram and WhatsApp — which is also the best hunting ground for paid social, because that audience already has the buying habit and just needs a safer place to do it.</w:t>
      </w:r>
    </w:p>
    <w:p>
      <w:pPr>
        <w:pStyle w:val="Heading1"/>
        <w:pBdr>
          <w:bottom w:val="single" w:color="1F3A5F" w:sz="8" w:space="4"/>
        </w:pBdr>
        <w:spacing w:after="200" w:before="400"/>
      </w:pPr>
      <w:r>
        <w:t xml:space="preserve">4. Who You're Selling To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4200"/>
      </w:tblGrid>
      <w:tr>
        <w:trPr>
          <w:tblHeader/>
        </w:trPr>
        <w:tc>
          <w:tcPr>
            <w:tcW w:type="dxa" w:w="2400"/>
            <w:shd w:fill="1F3A5F" w:val="clear"/>
            <w:tcMar>
              <w:top w:type="dxa" w:w="80"/>
              <w:left w:type="dxa" w:w="100"/>
              <w:bottom w:type="dxa" w:w="80"/>
              <w:right w:type="dxa" w:w="100"/>
            </w:tcMar>
            <w:vAlign w:val="center"/>
          </w:tcPr>
          <w:p>
            <w:pPr>
              <w:spacing w:after="0"/>
            </w:pPr>
            <w:r>
              <w:rPr>
                <w:b/>
                <w:bCs/>
                <w:color w:val="FFFFFF"/>
                <w:sz w:val="20"/>
                <w:szCs w:val="20"/>
              </w:rPr>
              <w:t xml:space="preserve">Segment</w:t>
            </w:r>
          </w:p>
        </w:tc>
        <w:tc>
          <w:tcPr>
            <w:tcW w:type="dxa" w:w="4200"/>
            <w:shd w:fill="1F3A5F" w:val="clear"/>
            <w:tcMar>
              <w:top w:type="dxa" w:w="80"/>
              <w:left w:type="dxa" w:w="100"/>
              <w:bottom w:type="dxa" w:w="80"/>
              <w:right w:type="dxa" w:w="100"/>
            </w:tcMar>
            <w:vAlign w:val="center"/>
          </w:tcPr>
          <w:p>
            <w:pPr>
              <w:spacing w:after="0"/>
            </w:pPr>
            <w:r>
              <w:rPr>
                <w:b/>
                <w:bCs/>
                <w:color w:val="FFFFFF"/>
                <w:sz w:val="20"/>
                <w:szCs w:val="20"/>
              </w:rPr>
              <w:t xml:space="preserve">Description</w:t>
            </w:r>
          </w:p>
        </w:tc>
        <w:tc>
          <w:tcPr>
            <w:tcW w:type="dxa" w:w="4200"/>
            <w:shd w:fill="1F3A5F" w:val="clear"/>
            <w:tcMar>
              <w:top w:type="dxa" w:w="80"/>
              <w:left w:type="dxa" w:w="100"/>
              <w:bottom w:type="dxa" w:w="80"/>
              <w:right w:type="dxa" w:w="100"/>
            </w:tcMar>
            <w:vAlign w:val="center"/>
          </w:tcPr>
          <w:p>
            <w:pPr>
              <w:spacing w:after="0"/>
            </w:pPr>
            <w:r>
              <w:rPr>
                <w:b/>
                <w:bCs/>
                <w:color w:val="FFFFFF"/>
                <w:sz w:val="20"/>
                <w:szCs w:val="20"/>
              </w:rPr>
              <w:t xml:space="preserve">Primary hook</w:t>
            </w:r>
          </w:p>
        </w:tc>
      </w:tr>
      <w:tr>
        <w:tc>
          <w:tcPr>
            <w:tcW w:type="dxa" w:w="24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Young urban buyers (18–34)</w:t>
            </w:r>
          </w:p>
        </w:tc>
        <w:tc>
          <w:tcPr>
            <w:tcW w:type="dxa" w:w="4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Students and early-career professionals in Kigali, mobile-first, price- and trust-sensitive, active on Instagram/TikTok/WhatsApp</w:t>
            </w:r>
          </w:p>
        </w:tc>
        <w:tc>
          <w:tcPr>
            <w:tcW w:type="dxa" w:w="4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Fast, trackable, MoMo-paid delivery + social proof from people like them</w:t>
            </w:r>
          </w:p>
        </w:tc>
      </w:tr>
      <w:tr>
        <w:tc>
          <w:tcPr>
            <w:tcW w:type="dxa" w:w="24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Households / family buyers (25–45)</w:t>
            </w:r>
          </w:p>
        </w:tc>
        <w:tc>
          <w:tcPr>
            <w:tcW w:type="dxa" w:w="42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Buying groceries, home goods, gifts; higher WhatsApp group and Facebook usage; more skeptical of new platforms</w:t>
            </w:r>
          </w:p>
        </w:tc>
        <w:tc>
          <w:tcPr>
            <w:tcW w:type="dxa" w:w="42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Escrow protection, verified sellers, ratings, familiar payment methods</w:t>
            </w:r>
          </w:p>
        </w:tc>
      </w:tr>
      <w:tr>
        <w:tc>
          <w:tcPr>
            <w:tcW w:type="dxa" w:w="24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Diaspora (Rwandans abroad)</w:t>
            </w:r>
          </w:p>
        </w:tc>
        <w:tc>
          <w:tcPr>
            <w:tcW w:type="dxa" w:w="4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Buying gifts or essentials for family in Kigali; higher spend, less price-sensitive, needs certainty of delivery</w:t>
            </w:r>
          </w:p>
        </w:tc>
        <w:tc>
          <w:tcPr>
            <w:tcW w:type="dxa" w:w="4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Proof of delivery (OTP + live tracking), reliability over price</w:t>
            </w:r>
          </w:p>
        </w:tc>
      </w:tr>
      <w:tr>
        <w:tc>
          <w:tcPr>
            <w:tcW w:type="dxa" w:w="24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Local vendors / SMEs</w:t>
            </w:r>
          </w:p>
        </w:tc>
        <w:tc>
          <w:tcPr>
            <w:tcW w:type="dxa" w:w="42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The supply side — small shops and makers who need customers, not just a listing</w:t>
            </w:r>
          </w:p>
        </w:tc>
        <w:tc>
          <w:tcPr>
            <w:tcW w:type="dxa" w:w="42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Real buyer traffic, fair commissions, AI-assisted listing tools, fast payouts</w:t>
            </w:r>
          </w:p>
        </w:tc>
      </w:tr>
    </w:tbl>
    <w:p>
      <w:pPr>
        <w:pStyle w:val="Heading1"/>
        <w:pBdr>
          <w:bottom w:val="single" w:color="1F3A5F" w:sz="8" w:space="4"/>
        </w:pBdr>
        <w:spacing w:after="200" w:before="400"/>
      </w:pPr>
      <w:r>
        <w:t xml:space="preserve">5. Positioning &amp; Core Message</w:t>
      </w:r>
    </w:p>
    <w:p>
      <w:pPr>
        <w:spacing w:after="160" w:line="276"/>
      </w:pPr>
      <w:r>
        <w:rPr>
          <w:b w:val="false"/>
          <w:bCs w:val="false"/>
          <w:color w:val="222222"/>
          <w:sz w:val="22"/>
          <w:szCs w:val="22"/>
        </w:rPr>
        <w:t xml:space="preserve">Position The Quality Market as </w:t>
      </w:r>
    </w:p>
    <w:p>
      <w:pPr>
        <w:spacing w:after="160" w:line="276"/>
      </w:pPr>
      <w:r>
        <w:rPr>
          <w:b/>
          <w:bCs/>
          <w:color w:val="1F3A5F"/>
          <w:sz w:val="24"/>
          <w:szCs w:val="24"/>
        </w:rPr>
        <w:t xml:space="preserve">“The marketplace you can actually watch arrive.”</w:t>
      </w:r>
    </w:p>
    <w:p>
      <w:pPr>
        <w:spacing w:after="160" w:line="276"/>
      </w:pPr>
      <w:r>
        <w:rPr>
          <w:color w:val="222222"/>
          <w:sz w:val="22"/>
          <w:szCs w:val="22"/>
        </w:rPr>
        <w:t xml:space="preserve">Every other differentiator — multi-vendor selection, MoMo payments, AI-assisted listings, ratings — supports that one promise. It directly answers the two things Kigali shoppers say hold them back from buying online: not knowing if the seller is real, and not knowing if the order is actually coming. Live GPS tracking, the 4-digit OTP handover, and escrow that only releases funds on confirmed delivery are not backend features — they are the marketing story.</w:t>
      </w:r>
    </w:p>
    <w:p>
      <w:pPr>
        <w:pStyle w:val="Heading1"/>
        <w:pBdr>
          <w:bottom w:val="single" w:color="1F3A5F" w:sz="8" w:space="4"/>
        </w:pBdr>
        <w:spacing w:after="200" w:before="400"/>
      </w:pPr>
      <w:r>
        <w:t xml:space="preserve">6. Channel Strategy</w:t>
      </w:r>
    </w:p>
    <w:p>
      <w:pPr>
        <w:spacing w:after="160" w:line="276"/>
      </w:pPr>
      <w:r>
        <w:rPr>
          <w:color w:val="222222"/>
          <w:sz w:val="22"/>
          <w:szCs w:val="22"/>
        </w:rPr>
        <w:t xml:space="preserve">On the plan to “do social media ads and influencers” — keep both, but narrow and sequence them. Broad awareness ads before there is trust content to point to waste spend; broad-reach influencers before micro-influencers waste credibility. Below is the fuller channel mix, roughly in the order to stand them up.</w:t>
      </w:r>
    </w:p>
    <w:p>
      <w:pPr>
        <w:pStyle w:val="Heading2"/>
        <w:spacing w:after="140" w:before="280"/>
      </w:pPr>
      <w:r>
        <w:t xml:space="preserve">6.1 Paid Social — refine, don't just spend more</w:t>
      </w:r>
    </w:p>
    <w:p>
      <w:pPr>
        <w:spacing w:after="160" w:line="276"/>
      </w:pPr>
      <w:r>
        <w:rPr>
          <w:color w:val="222222"/>
          <w:sz w:val="22"/>
          <w:szCs w:val="22"/>
        </w:rPr>
        <w:t xml:space="preserve">Paid social should be retargeting and conversion-focused, not top-of-funnel brand spend, for the first several months:</w:t>
      </w:r>
    </w:p>
    <w:p>
      <w:pPr>
        <w:pStyle w:val="ListParagraph"/>
        <w:numPr>
          <w:ilvl w:val="0"/>
          <w:numId w:val="2"/>
        </w:numPr>
        <w:spacing w:after="100" w:line="270"/>
      </w:pPr>
      <w:r>
        <w:rPr>
          <w:sz w:val="22"/>
          <w:szCs w:val="22"/>
        </w:rPr>
        <w:t xml:space="preserve">Lead with Meta (Facebook + Instagram): largest reachable audience today, and Instagram Shopping-style discovery is already a buying habit for Rwandan users.</w:t>
      </w:r>
    </w:p>
    <w:p>
      <w:pPr>
        <w:pStyle w:val="ListParagraph"/>
        <w:numPr>
          <w:ilvl w:val="0"/>
          <w:numId w:val="2"/>
        </w:numPr>
        <w:spacing w:after="100" w:line="270"/>
      </w:pPr>
      <w:r>
        <w:rPr>
          <w:sz w:val="22"/>
          <w:szCs w:val="22"/>
        </w:rPr>
        <w:t xml:space="preserve">Run TikTok in parallel from month one, not as an afterthought — it is the fastest-growing platform for under-25s and short delivery-tracking demo videos are a natural fit for the format.</w:t>
      </w:r>
    </w:p>
    <w:p>
      <w:pPr>
        <w:pStyle w:val="ListParagraph"/>
        <w:numPr>
          <w:ilvl w:val="0"/>
          <w:numId w:val="2"/>
        </w:numPr>
        <w:spacing w:after="100" w:line="270"/>
      </w:pPr>
      <w:r>
        <w:rPr>
          <w:sz w:val="22"/>
          <w:szCs w:val="22"/>
        </w:rPr>
        <w:t xml:space="preserve">Target narrowly: Kigali-only geofencing, interest and behavior targeting around existing informal marketplace/shopping-group activity, not broad national reach.</w:t>
      </w:r>
    </w:p>
    <w:p>
      <w:pPr>
        <w:pStyle w:val="ListParagraph"/>
        <w:numPr>
          <w:ilvl w:val="0"/>
          <w:numId w:val="2"/>
        </w:numPr>
        <w:spacing w:after="100" w:line="270"/>
      </w:pPr>
      <w:r>
        <w:rPr>
          <w:sz w:val="22"/>
          <w:szCs w:val="22"/>
        </w:rPr>
        <w:t xml:space="preserve">Creative should demonstrate the tracked-delivery and OTP experience, not just show products — trust is the actual objection being overcome.</w:t>
      </w:r>
    </w:p>
    <w:p>
      <w:pPr>
        <w:pStyle w:val="ListParagraph"/>
        <w:numPr>
          <w:ilvl w:val="0"/>
          <w:numId w:val="2"/>
        </w:numPr>
        <w:spacing w:after="100" w:line="270"/>
      </w:pPr>
      <w:r>
        <w:rPr>
          <w:sz w:val="22"/>
          <w:szCs w:val="22"/>
        </w:rPr>
        <w:t xml:space="preserve">Use retargeting funnels aggressively: cart abandoners and store visitors are cheaper and more convertible than cold reach in a low-trust market.</w:t>
      </w:r>
    </w:p>
    <w:p>
      <w:pPr>
        <w:pStyle w:val="Heading2"/>
        <w:spacing w:after="140" w:before="280"/>
      </w:pPr>
      <w:r>
        <w:t xml:space="preserve">6.2 Influencers — go micro and niche, not broad-reach</w:t>
      </w:r>
    </w:p>
    <w:p>
      <w:pPr>
        <w:spacing w:after="160" w:line="276"/>
      </w:pPr>
      <w:r>
        <w:rPr>
          <w:color w:val="222222"/>
          <w:sz w:val="22"/>
          <w:szCs w:val="22"/>
        </w:rPr>
        <w:t xml:space="preserve">Skip mega-influencers early. Rwandan audiences respond better to micro- and nano-influencers whose engagement reads as genuine, and their rates are far more sustainable for a launch budget:</w:t>
      </w:r>
    </w:p>
    <w:p>
      <w:pPr>
        <w:pStyle w:val="ListParagraph"/>
        <w:numPr>
          <w:ilvl w:val="0"/>
          <w:numId w:val="2"/>
        </w:numPr>
        <w:spacing w:after="100" w:line="270"/>
      </w:pPr>
      <w:r>
        <w:rPr>
          <w:sz w:val="22"/>
          <w:szCs w:val="22"/>
        </w:rPr>
        <w:t xml:space="preserve">Recruit 15–25 micro-influencers (roughly 2,000–50,000 followers) across a few relevant lanes: fashion/beauty, home &amp; family, tech/gadgets, food &amp; grocery, and campus/student life.</w:t>
      </w:r>
    </w:p>
    <w:p>
      <w:pPr>
        <w:pStyle w:val="ListParagraph"/>
        <w:numPr>
          <w:ilvl w:val="0"/>
          <w:numId w:val="2"/>
        </w:numPr>
        <w:spacing w:after="100" w:line="270"/>
      </w:pPr>
      <w:r>
        <w:rPr>
          <w:sz w:val="22"/>
          <w:szCs w:val="22"/>
        </w:rPr>
        <w:t xml:space="preserve">Pay a mix of flat fee plus a trackable discount code or affiliate link — this turns the influencer roster into a measurable sales channel, not just an awareness cost.</w:t>
      </w:r>
    </w:p>
    <w:p>
      <w:pPr>
        <w:pStyle w:val="ListParagraph"/>
        <w:numPr>
          <w:ilvl w:val="0"/>
          <w:numId w:val="2"/>
        </w:numPr>
        <w:spacing w:after="100" w:line="270"/>
      </w:pPr>
      <w:r>
        <w:rPr>
          <w:sz w:val="22"/>
          <w:szCs w:val="22"/>
        </w:rPr>
        <w:t xml:space="preserve">Brief every influencer to film the actual unboxing and delivery moment (rider arrival, OTP code, live map) — this is free trust content that paid ads can then repurpose.</w:t>
      </w:r>
    </w:p>
    <w:p>
      <w:pPr>
        <w:pStyle w:val="ListParagraph"/>
        <w:numPr>
          <w:ilvl w:val="0"/>
          <w:numId w:val="2"/>
        </w:numPr>
        <w:spacing w:after="100" w:line="270"/>
      </w:pPr>
      <w:r>
        <w:rPr>
          <w:sz w:val="22"/>
          <w:szCs w:val="22"/>
        </w:rPr>
        <w:t xml:space="preserve">Treat top-performing vendors' own social followings as an influencer channel too — a seller with 5,000 Instagram followers promoting their own storefront costs nothing and converts better than a paid post.</w:t>
      </w:r>
    </w:p>
    <w:p>
      <w:pPr>
        <w:pStyle w:val="Heading2"/>
        <w:spacing w:after="140" w:before="280"/>
      </w:pPr>
      <w:r>
        <w:t xml:space="preserve">6.3 WhatsApp commerce &amp; community</w:t>
      </w:r>
    </w:p>
    <w:p>
      <w:pPr>
        <w:spacing w:after="160" w:line="276"/>
      </w:pPr>
      <w:r>
        <w:rPr>
          <w:color w:val="222222"/>
          <w:sz w:val="22"/>
          <w:szCs w:val="22"/>
        </w:rPr>
        <w:t xml:space="preserve">WhatsApp is not optional infrastructure in Rwanda — it is where buying decisions actually get discussed. Set up a WhatsApp Business catalog synced to top products, use WhatsApp for order confirmations and delivery updates (already partly built into the platform's notification flow), and seed product links into relevant community and buy-sell-swap groups rather than only running paid placements.</w:t>
      </w:r>
    </w:p>
    <w:p>
      <w:pPr>
        <w:pStyle w:val="Heading2"/>
        <w:spacing w:after="140" w:before="280"/>
      </w:pPr>
      <w:r>
        <w:t xml:space="preserve">6.4 Vendor-led growth (the two-sided flywheel)</w:t>
      </w:r>
    </w:p>
    <w:p>
      <w:pPr>
        <w:spacing w:after="160" w:line="276"/>
      </w:pPr>
      <w:r>
        <w:rPr>
          <w:color w:val="222222"/>
          <w:sz w:val="22"/>
          <w:szCs w:val="22"/>
        </w:rPr>
        <w:t xml:space="preserve">This is the highest-leverage channel not currently in the plan. Every approved seller already has customers, suppliers, and often a social following — recruit vendors as a distribution channel, not just inventory:</w:t>
      </w:r>
    </w:p>
    <w:p>
      <w:pPr>
        <w:pStyle w:val="ListParagraph"/>
        <w:numPr>
          <w:ilvl w:val="0"/>
          <w:numId w:val="2"/>
        </w:numPr>
        <w:spacing w:after="100" w:line="270"/>
      </w:pPr>
      <w:r>
        <w:rPr>
          <w:sz w:val="22"/>
          <w:szCs w:val="22"/>
        </w:rPr>
        <w:t xml:space="preserve">Prioritize onboarding vendors with existing followings or foot traffic in Kigali's known commercial areas (Kimironko, Nyabugogo, Kigali Heights, CBD) — their existing customers become platform customers.</w:t>
      </w:r>
    </w:p>
    <w:p>
      <w:pPr>
        <w:pStyle w:val="ListParagraph"/>
        <w:numPr>
          <w:ilvl w:val="0"/>
          <w:numId w:val="2"/>
        </w:numPr>
        <w:spacing w:after="100" w:line="270"/>
      </w:pPr>
      <w:r>
        <w:rPr>
          <w:sz w:val="22"/>
          <w:szCs w:val="22"/>
        </w:rPr>
        <w:t xml:space="preserve">Offer a limited-time reduced commission for the first cohort of sellers, tied to them actively promoting their store link.</w:t>
      </w:r>
    </w:p>
    <w:p>
      <w:pPr>
        <w:pStyle w:val="ListParagraph"/>
        <w:numPr>
          <w:ilvl w:val="0"/>
          <w:numId w:val="2"/>
        </w:numPr>
        <w:spacing w:after="100" w:line="270"/>
      </w:pPr>
      <w:r>
        <w:rPr>
          <w:sz w:val="22"/>
          <w:szCs w:val="22"/>
        </w:rPr>
        <w:t xml:space="preserve">Give sellers ready-made promotional assets (product cards, story templates) so cross-posting to their own channels is a five-minute task, not a project.</w:t>
      </w:r>
    </w:p>
    <w:p>
      <w:pPr>
        <w:pStyle w:val="ListParagraph"/>
        <w:numPr>
          <w:ilvl w:val="0"/>
          <w:numId w:val="2"/>
        </w:numPr>
        <w:spacing w:after="100" w:line="270"/>
      </w:pPr>
      <w:r>
        <w:rPr>
          <w:sz w:val="22"/>
          <w:szCs w:val="22"/>
        </w:rPr>
        <w:t xml:space="preserve">Track and reward the sellers who drive the most external traffic — this turns supply-side growth into demand-side growth for free.</w:t>
      </w:r>
    </w:p>
    <w:p>
      <w:pPr>
        <w:pStyle w:val="Heading2"/>
        <w:spacing w:after="140" w:before="280"/>
      </w:pPr>
      <w:r>
        <w:t xml:space="preserve">6.5 Trust and content marketing</w:t>
      </w:r>
    </w:p>
    <w:p>
      <w:pPr>
        <w:spacing w:after="160" w:line="276"/>
      </w:pPr>
      <w:r>
        <w:rPr>
          <w:color w:val="222222"/>
          <w:sz w:val="22"/>
          <w:szCs w:val="22"/>
        </w:rPr>
        <w:t xml:space="preserve">Build a short library of proof content before scaling paid spend: a 60-second video of the live tracking map and OTP handover, seller verification badges shown on every store page, and real customer testimonials in Kinyarwanda, French, and English. This content should feed every other channel — ads, influencer briefs, WhatsApp shares, and the homepage itself.</w:t>
      </w:r>
    </w:p>
    <w:p>
      <w:pPr>
        <w:pStyle w:val="Heading2"/>
        <w:spacing w:after="140" w:before="280"/>
      </w:pPr>
      <w:r>
        <w:t xml:space="preserve">6.6 SEO &amp; Google Business Profile</w:t>
      </w:r>
    </w:p>
    <w:p>
      <w:pPr>
        <w:spacing w:after="160" w:line="276"/>
      </w:pPr>
      <w:r>
        <w:rPr>
          <w:color w:val="222222"/>
          <w:sz w:val="22"/>
          <w:szCs w:val="22"/>
        </w:rPr>
        <w:t xml:space="preserve">Organic search is close to uncontested in this category in Rwanda right now. Claim and fully build out a Google Business Profile, publish simple city- and category-specific landing content (“online shopping delivery Kigali,” “buy [category] Kigali same day”), and keep product pages indexable — this is low-cost, compounding, and nobody else in the competitive set is investing seriously in it.</w:t>
      </w:r>
    </w:p>
    <w:p>
      <w:pPr>
        <w:pStyle w:val="Heading2"/>
        <w:spacing w:after="140" w:before="280"/>
      </w:pPr>
      <w:r>
        <w:t xml:space="preserve">6.7 On-the-ground activation</w:t>
      </w:r>
    </w:p>
    <w:p>
      <w:pPr>
        <w:spacing w:after="160" w:line="276"/>
      </w:pPr>
      <w:r>
        <w:rPr>
          <w:color w:val="222222"/>
          <w:sz w:val="22"/>
          <w:szCs w:val="22"/>
        </w:rPr>
        <w:t xml:space="preserve">With a median age under 20 and Kigali's density, physical presence still converts well and builds the word-of-mouth that WhatsApp then carries further:</w:t>
      </w:r>
    </w:p>
    <w:p>
      <w:pPr>
        <w:pStyle w:val="ListParagraph"/>
        <w:numPr>
          <w:ilvl w:val="0"/>
          <w:numId w:val="2"/>
        </w:numPr>
        <w:spacing w:after="100" w:line="270"/>
      </w:pPr>
      <w:r>
        <w:rPr>
          <w:sz w:val="22"/>
          <w:szCs w:val="22"/>
        </w:rPr>
        <w:t xml:space="preserve">Branded rider gear and delivery-bag branding — every pooled delivery run is a moving billboard demonstrating the live-tracked experience.</w:t>
      </w:r>
    </w:p>
    <w:p>
      <w:pPr>
        <w:pStyle w:val="ListParagraph"/>
        <w:numPr>
          <w:ilvl w:val="0"/>
          <w:numId w:val="2"/>
        </w:numPr>
        <w:spacing w:after="100" w:line="270"/>
      </w:pPr>
      <w:r>
        <w:rPr>
          <w:sz w:val="22"/>
          <w:szCs w:val="22"/>
        </w:rPr>
        <w:t xml:space="preserve">Campus activations at Kigali's universities (a natural fit given the youth skew) — sign-up incentives, referral codes, maybe a campus ambassador per school.</w:t>
      </w:r>
    </w:p>
    <w:p>
      <w:pPr>
        <w:pStyle w:val="ListParagraph"/>
        <w:numPr>
          <w:ilvl w:val="0"/>
          <w:numId w:val="2"/>
        </w:numPr>
        <w:spacing w:after="100" w:line="270"/>
      </w:pPr>
      <w:r>
        <w:rPr>
          <w:sz w:val="22"/>
          <w:szCs w:val="22"/>
        </w:rPr>
        <w:t xml:space="preserve">A presence at markets, malls or community events with a live demo of the tracking map — make the differentiator tangible, not just a claim.</w:t>
      </w:r>
    </w:p>
    <w:p>
      <w:pPr>
        <w:pStyle w:val="ListParagraph"/>
        <w:numPr>
          <w:ilvl w:val="0"/>
          <w:numId w:val="2"/>
        </w:numPr>
        <w:spacing w:after="100" w:line="270"/>
      </w:pPr>
      <w:r>
        <w:rPr>
          <w:sz w:val="22"/>
          <w:szCs w:val="22"/>
        </w:rPr>
        <w:t xml:space="preserve">Local press and tech-media outreach: Rwanda's e-commerce sector is still a story, and a platform built specifically around a Kigali-only pooled delivery innovation is genuinely newsworthy — free earned media is available here if pitched.</w:t>
      </w:r>
    </w:p>
    <w:p>
      <w:pPr>
        <w:pStyle w:val="Heading2"/>
        <w:spacing w:after="140" w:before="280"/>
      </w:pPr>
      <w:r>
        <w:t xml:space="preserve">6.8 Diaspora channel</w:t>
      </w:r>
    </w:p>
    <w:p>
      <w:pPr>
        <w:spacing w:after="160" w:line="276"/>
      </w:pPr>
      <w:r>
        <w:rPr>
          <w:color w:val="222222"/>
          <w:sz w:val="22"/>
          <w:szCs w:val="22"/>
        </w:rPr>
        <w:t xml:space="preserve">Rwandans abroad already buy gifts and essentials for family in Kigali, and Murukali actively courts this segment. Diaspora buyers are less price-sensitive and care most about certainty of delivery — the OTP-confirmed, trackable delivery experience is a stronger sell to this segment than to almost any other. Reach them through diaspora Facebook groups, WhatsApp diaspora communities, and email/newsletter capture rather than local Kigali ad targeting.</w:t>
      </w:r>
    </w:p>
    <w:p>
      <w:pPr>
        <w:pStyle w:val="Heading2"/>
        <w:spacing w:after="140" w:before="280"/>
      </w:pPr>
      <w:r>
        <w:t xml:space="preserve">6.9 Referral and retention</w:t>
      </w:r>
    </w:p>
    <w:p>
      <w:pPr>
        <w:spacing w:after="160" w:line="276"/>
      </w:pPr>
      <w:r>
        <w:rPr>
          <w:color w:val="222222"/>
          <w:sz w:val="22"/>
          <w:szCs w:val="22"/>
        </w:rPr>
        <w:t xml:space="preserve">Word-of-mouth through WhatsApp and family/community networks is culturally how trust spreads in Rwanda — formalize it with a simple give-and-get referral credit, and pair it with basic retention mechanics (order-confirmation and delivery-update messaging already exists; add a post-delivery review nudge and a light loyalty/repeat-order incentive). Repeat purchase rate will matter more to unit economics here than first-order acquisition cost.</w:t>
      </w:r>
    </w:p>
    <w:p>
      <w:pPr>
        <w:pStyle w:val="Heading1"/>
        <w:pBdr>
          <w:bottom w:val="single" w:color="1F3A5F" w:sz="8" w:space="4"/>
        </w:pBdr>
        <w:spacing w:after="200" w:before="400"/>
      </w:pPr>
      <w:r>
        <w:t xml:space="preserve">7. Budget Allocation Framework</w:t>
      </w:r>
    </w:p>
    <w:p>
      <w:pPr>
        <w:spacing w:after="160" w:line="276"/>
      </w:pPr>
      <w:r>
        <w:rPr>
          <w:color w:val="222222"/>
          <w:sz w:val="22"/>
          <w:szCs w:val="22"/>
        </w:rPr>
        <w:t xml:space="preserve">Without a fixed budget figure, use this as a percentage framework and adjust the total spend to what's available — the proportions matter more than the absolute numbers at this stage. Shift weight from trust-building toward paid acquisition only once the trust content library exists and early retention data looks healthy.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000"/>
      </w:tblGrid>
      <w:tr>
        <w:trPr>
          <w:tblHeader/>
        </w:trPr>
        <w:tc>
          <w:tcPr>
            <w:tcW w:type="dxa" w:w="3400"/>
            <w:shd w:fill="1F3A5F" w:val="clear"/>
            <w:tcMar>
              <w:top w:type="dxa" w:w="80"/>
              <w:left w:type="dxa" w:w="100"/>
              <w:bottom w:type="dxa" w:w="80"/>
              <w:right w:type="dxa" w:w="100"/>
            </w:tcMar>
            <w:vAlign w:val="center"/>
          </w:tcPr>
          <w:p>
            <w:pPr>
              <w:spacing w:after="0"/>
            </w:pPr>
            <w:r>
              <w:rPr>
                <w:b/>
                <w:bCs/>
                <w:color w:val="FFFFFF"/>
                <w:sz w:val="20"/>
                <w:szCs w:val="20"/>
              </w:rPr>
              <w:t xml:space="preserve">Channel</w:t>
            </w:r>
          </w:p>
        </w:tc>
        <w:tc>
          <w:tcPr>
            <w:tcW w:type="dxa" w:w="2200"/>
            <w:shd w:fill="1F3A5F" w:val="clear"/>
            <w:tcMar>
              <w:top w:type="dxa" w:w="80"/>
              <w:left w:type="dxa" w:w="100"/>
              <w:bottom w:type="dxa" w:w="80"/>
              <w:right w:type="dxa" w:w="100"/>
            </w:tcMar>
            <w:vAlign w:val="center"/>
          </w:tcPr>
          <w:p>
            <w:pPr>
              <w:spacing w:after="0"/>
            </w:pPr>
            <w:r>
              <w:rPr>
                <w:b/>
                <w:bCs/>
                <w:color w:val="FFFFFF"/>
                <w:sz w:val="20"/>
                <w:szCs w:val="20"/>
              </w:rPr>
              <w:t xml:space="preserve">Phase 1 — Launch (Mo. 1–3)</w:t>
            </w:r>
          </w:p>
        </w:tc>
        <w:tc>
          <w:tcPr>
            <w:tcW w:type="dxa" w:w="2200"/>
            <w:shd w:fill="1F3A5F" w:val="clear"/>
            <w:tcMar>
              <w:top w:type="dxa" w:w="80"/>
              <w:left w:type="dxa" w:w="100"/>
              <w:bottom w:type="dxa" w:w="80"/>
              <w:right w:type="dxa" w:w="100"/>
            </w:tcMar>
            <w:vAlign w:val="center"/>
          </w:tcPr>
          <w:p>
            <w:pPr>
              <w:spacing w:after="0"/>
            </w:pPr>
            <w:r>
              <w:rPr>
                <w:b/>
                <w:bCs/>
                <w:color w:val="FFFFFF"/>
                <w:sz w:val="20"/>
                <w:szCs w:val="20"/>
              </w:rPr>
              <w:t xml:space="preserve">Phase 2 — Growth (Mo. 4–9)</w:t>
            </w:r>
          </w:p>
        </w:tc>
        <w:tc>
          <w:tcPr>
            <w:tcW w:type="dxa" w:w="2000"/>
            <w:shd w:fill="1F3A5F" w:val="clear"/>
            <w:tcMar>
              <w:top w:type="dxa" w:w="80"/>
              <w:left w:type="dxa" w:w="100"/>
              <w:bottom w:type="dxa" w:w="80"/>
              <w:right w:type="dxa" w:w="100"/>
            </w:tcMar>
            <w:vAlign w:val="center"/>
          </w:tcPr>
          <w:p>
            <w:pPr>
              <w:spacing w:after="0"/>
            </w:pPr>
            <w:r>
              <w:rPr>
                <w:b/>
                <w:bCs/>
                <w:color w:val="FFFFFF"/>
                <w:sz w:val="20"/>
                <w:szCs w:val="20"/>
              </w:rPr>
              <w:t xml:space="preserve">Phase 3 — Scale (Mo. 10–12)</w:t>
            </w:r>
          </w:p>
        </w:tc>
      </w:tr>
      <w:tr>
        <w:tc>
          <w:tcPr>
            <w:tcW w:type="dxa" w:w="34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Paid social (Meta + TikTok)</w:t>
            </w:r>
          </w:p>
        </w:tc>
        <w:tc>
          <w:tcPr>
            <w:tcW w:type="dxa" w:w="2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30%</w:t>
            </w:r>
          </w:p>
        </w:tc>
        <w:tc>
          <w:tcPr>
            <w:tcW w:type="dxa" w:w="2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35%</w:t>
            </w:r>
          </w:p>
        </w:tc>
        <w:tc>
          <w:tcPr>
            <w:tcW w:type="dxa" w:w="20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30%</w:t>
            </w:r>
          </w:p>
        </w:tc>
      </w:tr>
      <w:tr>
        <w:tc>
          <w:tcPr>
            <w:tcW w:type="dxa" w:w="34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Influencers (micro/nano)</w:t>
            </w:r>
          </w:p>
        </w:tc>
        <w:tc>
          <w:tcPr>
            <w:tcW w:type="dxa" w:w="22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20%</w:t>
            </w:r>
          </w:p>
        </w:tc>
        <w:tc>
          <w:tcPr>
            <w:tcW w:type="dxa" w:w="22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15%</w:t>
            </w:r>
          </w:p>
        </w:tc>
        <w:tc>
          <w:tcPr>
            <w:tcW w:type="dxa" w:w="20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10%</w:t>
            </w:r>
          </w:p>
        </w:tc>
      </w:tr>
      <w:tr>
        <w:tc>
          <w:tcPr>
            <w:tcW w:type="dxa" w:w="34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On-ground activation</w:t>
            </w:r>
          </w:p>
        </w:tc>
        <w:tc>
          <w:tcPr>
            <w:tcW w:type="dxa" w:w="2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20%</w:t>
            </w:r>
          </w:p>
        </w:tc>
        <w:tc>
          <w:tcPr>
            <w:tcW w:type="dxa" w:w="2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10%</w:t>
            </w:r>
          </w:p>
        </w:tc>
        <w:tc>
          <w:tcPr>
            <w:tcW w:type="dxa" w:w="20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10%</w:t>
            </w:r>
          </w:p>
        </w:tc>
      </w:tr>
      <w:tr>
        <w:tc>
          <w:tcPr>
            <w:tcW w:type="dxa" w:w="34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Trust/content production</w:t>
            </w:r>
          </w:p>
        </w:tc>
        <w:tc>
          <w:tcPr>
            <w:tcW w:type="dxa" w:w="22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15%</w:t>
            </w:r>
          </w:p>
        </w:tc>
        <w:tc>
          <w:tcPr>
            <w:tcW w:type="dxa" w:w="22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10%</w:t>
            </w:r>
          </w:p>
        </w:tc>
        <w:tc>
          <w:tcPr>
            <w:tcW w:type="dxa" w:w="20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10%</w:t>
            </w:r>
          </w:p>
        </w:tc>
      </w:tr>
      <w:tr>
        <w:tc>
          <w:tcPr>
            <w:tcW w:type="dxa" w:w="34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Referral &amp; launch incentives</w:t>
            </w:r>
          </w:p>
        </w:tc>
        <w:tc>
          <w:tcPr>
            <w:tcW w:type="dxa" w:w="2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10%</w:t>
            </w:r>
          </w:p>
        </w:tc>
        <w:tc>
          <w:tcPr>
            <w:tcW w:type="dxa" w:w="2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10%</w:t>
            </w:r>
          </w:p>
        </w:tc>
        <w:tc>
          <w:tcPr>
            <w:tcW w:type="dxa" w:w="20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5%</w:t>
            </w:r>
          </w:p>
        </w:tc>
      </w:tr>
      <w:tr>
        <w:tc>
          <w:tcPr>
            <w:tcW w:type="dxa" w:w="34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Vendor co-marketing incentives</w:t>
            </w:r>
          </w:p>
        </w:tc>
        <w:tc>
          <w:tcPr>
            <w:tcW w:type="dxa" w:w="22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w:t>
            </w:r>
          </w:p>
        </w:tc>
        <w:tc>
          <w:tcPr>
            <w:tcW w:type="dxa" w:w="22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10%</w:t>
            </w:r>
          </w:p>
        </w:tc>
        <w:tc>
          <w:tcPr>
            <w:tcW w:type="dxa" w:w="20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10%</w:t>
            </w:r>
          </w:p>
        </w:tc>
      </w:tr>
      <w:tr>
        <w:tc>
          <w:tcPr>
            <w:tcW w:type="dxa" w:w="34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Retention / loyalty / CRM</w:t>
            </w:r>
          </w:p>
        </w:tc>
        <w:tc>
          <w:tcPr>
            <w:tcW w:type="dxa" w:w="2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w:t>
            </w:r>
          </w:p>
        </w:tc>
        <w:tc>
          <w:tcPr>
            <w:tcW w:type="dxa" w:w="2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5%</w:t>
            </w:r>
          </w:p>
        </w:tc>
        <w:tc>
          <w:tcPr>
            <w:tcW w:type="dxa" w:w="20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20%</w:t>
            </w:r>
          </w:p>
        </w:tc>
      </w:tr>
      <w:tr>
        <w:tc>
          <w:tcPr>
            <w:tcW w:type="dxa" w:w="34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Diaspora campaign</w:t>
            </w:r>
          </w:p>
        </w:tc>
        <w:tc>
          <w:tcPr>
            <w:tcW w:type="dxa" w:w="22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w:t>
            </w:r>
          </w:p>
        </w:tc>
        <w:tc>
          <w:tcPr>
            <w:tcW w:type="dxa" w:w="22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5%</w:t>
            </w:r>
          </w:p>
        </w:tc>
        <w:tc>
          <w:tcPr>
            <w:tcW w:type="dxa" w:w="20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5%</w:t>
            </w:r>
          </w:p>
        </w:tc>
      </w:tr>
      <w:tr>
        <w:tc>
          <w:tcPr>
            <w:tcW w:type="dxa" w:w="34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Tools, WhatsApp Business, analytics</w:t>
            </w:r>
          </w:p>
        </w:tc>
        <w:tc>
          <w:tcPr>
            <w:tcW w:type="dxa" w:w="2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5%</w:t>
            </w:r>
          </w:p>
        </w:tc>
        <w:tc>
          <w:tcPr>
            <w:tcW w:type="dxa" w:w="2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w:t>
            </w:r>
          </w:p>
        </w:tc>
        <w:tc>
          <w:tcPr>
            <w:tcW w:type="dxa" w:w="20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w:t>
            </w:r>
          </w:p>
        </w:tc>
      </w:tr>
    </w:tbl>
    <w:p>
      <w:pPr>
        <w:pStyle w:val="Heading1"/>
        <w:pBdr>
          <w:bottom w:val="single" w:color="1F3A5F" w:sz="8" w:space="4"/>
        </w:pBdr>
        <w:spacing w:after="200" w:before="400"/>
      </w:pPr>
      <w:r>
        <w:t xml:space="preserve">8. Staying Ahead of Competitors — the Moat Playbook</w:t>
      </w:r>
    </w:p>
    <w:p>
      <w:pPr>
        <w:spacing w:after="160" w:line="276"/>
      </w:pPr>
      <w:r>
        <w:rPr>
          <w:color w:val="222222"/>
          <w:sz w:val="22"/>
          <w:szCs w:val="22"/>
        </w:rPr>
        <w:t xml:space="preserve">The advantage this platform has today (pooled, tracked, OTP-verified delivery with escrow) is a real technical and operational moat, but only for as long as it's the loudest, most visible thing about the brand. Concretely:</w:t>
      </w:r>
    </w:p>
    <w:p>
      <w:pPr>
        <w:pStyle w:val="ListParagraph"/>
        <w:numPr>
          <w:ilvl w:val="0"/>
          <w:numId w:val="2"/>
        </w:numPr>
        <w:spacing w:after="100" w:line="270"/>
      </w:pPr>
      <w:r>
        <w:rPr>
          <w:b/>
          <w:bCs/>
          <w:sz w:val="22"/>
          <w:szCs w:val="22"/>
        </w:rPr>
        <w:t xml:space="preserve">Make the tracking map the hero of every ad, not the products. </w:t>
      </w:r>
      <w:r>
        <w:rPr>
          <w:sz w:val="22"/>
          <w:szCs w:val="22"/>
        </w:rPr>
        <w:t xml:space="preserve">Products are commoditized across every competitor; the delivery experience currently is not.</w:t>
      </w:r>
    </w:p>
    <w:p>
      <w:pPr>
        <w:pStyle w:val="ListParagraph"/>
        <w:numPr>
          <w:ilvl w:val="0"/>
          <w:numId w:val="2"/>
        </w:numPr>
        <w:spacing w:after="100" w:line="270"/>
      </w:pPr>
      <w:r>
        <w:rPr>
          <w:b/>
          <w:bCs/>
          <w:sz w:val="22"/>
          <w:szCs w:val="22"/>
        </w:rPr>
        <w:t xml:space="preserve">Win sellers first, not just buyers. </w:t>
      </w:r>
      <w:r>
        <w:rPr>
          <w:sz w:val="22"/>
          <w:szCs w:val="22"/>
        </w:rPr>
        <w:t xml:space="preserve">Murukali and SokoMall's ceilings are set by how many good sellers they can keep happy. Faster payouts, lower early commissions, and real marketing support for vendors is a lever competitors with thinner operations teams will struggle to match quickly.</w:t>
      </w:r>
    </w:p>
    <w:p>
      <w:pPr>
        <w:pStyle w:val="ListParagraph"/>
        <w:numPr>
          <w:ilvl w:val="0"/>
          <w:numId w:val="2"/>
        </w:numPr>
        <w:spacing w:after="100" w:line="270"/>
      </w:pPr>
      <w:r>
        <w:rPr>
          <w:b/>
          <w:bCs/>
          <w:sz w:val="22"/>
          <w:szCs w:val="22"/>
        </w:rPr>
        <w:t xml:space="preserve">Compete on reliability, not price, against Murukali and SokoMall. </w:t>
      </w:r>
      <w:r>
        <w:rPr>
          <w:sz w:val="22"/>
          <w:szCs w:val="22"/>
        </w:rPr>
        <w:t xml:space="preserve">A price war favors whoever has the thinner margins to lose; a reliability war favors whoever built the better logistics stack — which is this platform.</w:t>
      </w:r>
    </w:p>
    <w:p>
      <w:pPr>
        <w:pStyle w:val="ListParagraph"/>
        <w:numPr>
          <w:ilvl w:val="0"/>
          <w:numId w:val="2"/>
        </w:numPr>
        <w:spacing w:after="100" w:line="270"/>
      </w:pPr>
      <w:r>
        <w:rPr>
          <w:b/>
          <w:bCs/>
          <w:sz w:val="22"/>
          <w:szCs w:val="22"/>
        </w:rPr>
        <w:t xml:space="preserve">Absorb the informal Facebook/WhatsApp sellers rather than just competing with them. </w:t>
      </w:r>
      <w:r>
        <w:rPr>
          <w:sz w:val="22"/>
          <w:szCs w:val="22"/>
        </w:rPr>
        <w:t xml:space="preserve">Actively recruit individual sellers who currently sell through Facebook posts and WhatsApp status onto the platform, positioning it as “all the reach you already have, plus protection for your buyers.”</w:t>
      </w:r>
    </w:p>
    <w:p>
      <w:pPr>
        <w:pStyle w:val="ListParagraph"/>
        <w:numPr>
          <w:ilvl w:val="0"/>
          <w:numId w:val="2"/>
        </w:numPr>
        <w:spacing w:after="100" w:line="270"/>
      </w:pPr>
      <w:r>
        <w:rPr>
          <w:b/>
          <w:bCs/>
          <w:sz w:val="22"/>
          <w:szCs w:val="22"/>
        </w:rPr>
        <w:t xml:space="preserve">Don't repeat Jumia's mistake. </w:t>
      </w:r>
      <w:r>
        <w:rPr>
          <w:sz w:val="22"/>
          <w:szCs w:val="22"/>
        </w:rPr>
        <w:t xml:space="preserve">Jumia treated Rwanda as one more market in a pan-African playbook and withdrew in 2021. Every piece of marketing, delivery language, and support should stay unmistakably Kigali-specific — sector names, Kinyarwanda copy, local landmarks — rather than generic “Africa e-commerce” messaging.</w:t>
      </w:r>
    </w:p>
    <w:p>
      <w:pPr>
        <w:pStyle w:val="ListParagraph"/>
        <w:numPr>
          <w:ilvl w:val="0"/>
          <w:numId w:val="2"/>
        </w:numPr>
        <w:spacing w:after="100" w:line="270"/>
      </w:pPr>
      <w:r>
        <w:rPr>
          <w:b/>
          <w:bCs/>
          <w:sz w:val="22"/>
          <w:szCs w:val="22"/>
        </w:rPr>
        <w:t xml:space="preserve">Keep shipping the delivery experience forward. </w:t>
      </w:r>
      <w:r>
        <w:rPr>
          <w:sz w:val="22"/>
          <w:szCs w:val="22"/>
        </w:rPr>
        <w:t xml:space="preserve">Live rider tracking and OTP handover are strong today; extending them (e.g., scheduled delivery windows, proactive delay alerts) keeps the gap widening rather than letting competitors catch up on the current baseline.</w:t>
      </w:r>
    </w:p>
    <w:p>
      <w:pPr>
        <w:pStyle w:val="Heading1"/>
        <w:pBdr>
          <w:bottom w:val="single" w:color="1F3A5F" w:sz="8" w:space="4"/>
        </w:pBdr>
        <w:spacing w:after="200" w:before="400"/>
      </w:pPr>
      <w:r>
        <w:t xml:space="preserve">9. 90-Day Launch Roadmap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200"/>
      </w:tblGrid>
      <w:tr>
        <w:trPr>
          <w:tblHeader/>
        </w:trPr>
        <w:tc>
          <w:tcPr>
            <w:tcW w:type="dxa" w:w="1400"/>
            <w:shd w:fill="1F3A5F" w:val="clear"/>
            <w:tcMar>
              <w:top w:type="dxa" w:w="80"/>
              <w:left w:type="dxa" w:w="100"/>
              <w:bottom w:type="dxa" w:w="80"/>
              <w:right w:type="dxa" w:w="100"/>
            </w:tcMar>
            <w:vAlign w:val="center"/>
          </w:tcPr>
          <w:p>
            <w:pPr>
              <w:spacing w:after="0"/>
            </w:pPr>
            <w:r>
              <w:rPr>
                <w:b/>
                <w:bCs/>
                <w:color w:val="FFFFFF"/>
                <w:sz w:val="20"/>
                <w:szCs w:val="20"/>
              </w:rPr>
              <w:t xml:space="preserve">Weeks</w:t>
            </w:r>
          </w:p>
        </w:tc>
        <w:tc>
          <w:tcPr>
            <w:tcW w:type="dxa" w:w="2200"/>
            <w:shd w:fill="1F3A5F" w:val="clear"/>
            <w:tcMar>
              <w:top w:type="dxa" w:w="80"/>
              <w:left w:type="dxa" w:w="100"/>
              <w:bottom w:type="dxa" w:w="80"/>
              <w:right w:type="dxa" w:w="100"/>
            </w:tcMar>
            <w:vAlign w:val="center"/>
          </w:tcPr>
          <w:p>
            <w:pPr>
              <w:spacing w:after="0"/>
            </w:pPr>
            <w:r>
              <w:rPr>
                <w:b/>
                <w:bCs/>
                <w:color w:val="FFFFFF"/>
                <w:sz w:val="20"/>
                <w:szCs w:val="20"/>
              </w:rPr>
              <w:t xml:space="preserve">Focus</w:t>
            </w:r>
          </w:p>
        </w:tc>
        <w:tc>
          <w:tcPr>
            <w:tcW w:type="dxa" w:w="6200"/>
            <w:shd w:fill="1F3A5F" w:val="clear"/>
            <w:tcMar>
              <w:top w:type="dxa" w:w="80"/>
              <w:left w:type="dxa" w:w="100"/>
              <w:bottom w:type="dxa" w:w="80"/>
              <w:right w:type="dxa" w:w="100"/>
            </w:tcMar>
            <w:vAlign w:val="center"/>
          </w:tcPr>
          <w:p>
            <w:pPr>
              <w:spacing w:after="0"/>
            </w:pPr>
            <w:r>
              <w:rPr>
                <w:b/>
                <w:bCs/>
                <w:color w:val="FFFFFF"/>
                <w:sz w:val="20"/>
                <w:szCs w:val="20"/>
              </w:rPr>
              <w:t xml:space="preserve">Key actions</w:t>
            </w:r>
          </w:p>
        </w:tc>
      </w:tr>
      <w:tr>
        <w:tc>
          <w:tcPr>
            <w:tcW w:type="dxa" w:w="14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1–2</w:t>
            </w:r>
          </w:p>
        </w:tc>
        <w:tc>
          <w:tcPr>
            <w:tcW w:type="dxa" w:w="2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Foundations</w:t>
            </w:r>
          </w:p>
        </w:tc>
        <w:tc>
          <w:tcPr>
            <w:tcW w:type="dxa" w:w="6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Set up WhatsApp Business catalog, Google Business Profile, FB/IG business accounts; onboard first 20–30 vendors; produce the core trust-content video (tracking map + OTP handover).</w:t>
            </w:r>
          </w:p>
        </w:tc>
      </w:tr>
      <w:tr>
        <w:tc>
          <w:tcPr>
            <w:tcW w:type="dxa" w:w="14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3–4</w:t>
            </w:r>
          </w:p>
        </w:tc>
        <w:tc>
          <w:tcPr>
            <w:tcW w:type="dxa" w:w="22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Soft launch</w:t>
            </w:r>
          </w:p>
        </w:tc>
        <w:tc>
          <w:tcPr>
            <w:tcW w:type="dxa" w:w="62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Launch to warm network + referral program; seed first 10–15 micro-influencers; begin vendor co-marketing kit rollout.</w:t>
            </w:r>
          </w:p>
        </w:tc>
      </w:tr>
      <w:tr>
        <w:tc>
          <w:tcPr>
            <w:tcW w:type="dxa" w:w="14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5–8</w:t>
            </w:r>
          </w:p>
        </w:tc>
        <w:tc>
          <w:tcPr>
            <w:tcW w:type="dxa" w:w="2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Controlled ramp</w:t>
            </w:r>
          </w:p>
        </w:tc>
        <w:tc>
          <w:tcPr>
            <w:tcW w:type="dxa" w:w="62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Start narrow, Kigali-geofenced paid social (Meta + TikTok); run first campus/market activation; begin retargeting cart-abandoners and store visitors.</w:t>
            </w:r>
          </w:p>
        </w:tc>
      </w:tr>
      <w:tr>
        <w:tc>
          <w:tcPr>
            <w:tcW w:type="dxa" w:w="14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9–12</w:t>
            </w:r>
          </w:p>
        </w:tc>
        <w:tc>
          <w:tcPr>
            <w:tcW w:type="dxa" w:w="22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Measure &amp; double down</w:t>
            </w:r>
          </w:p>
        </w:tc>
        <w:tc>
          <w:tcPr>
            <w:tcW w:type="dxa" w:w="62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Review CAC and repeat-purchase data by channel; shift budget toward whichever channel is proving cheapest per retained customer; launch diaspora campaign; introduce loyalty mechanic.</w:t>
            </w:r>
          </w:p>
        </w:tc>
      </w:tr>
    </w:tbl>
    <w:p>
      <w:pPr>
        <w:pStyle w:val="Heading1"/>
        <w:pBdr>
          <w:bottom w:val="single" w:color="1F3A5F" w:sz="8" w:space="4"/>
        </w:pBdr>
        <w:spacing w:after="200" w:before="400"/>
      </w:pPr>
      <w:r>
        <w:t xml:space="preserve">10. KPIs to Track</w:t>
      </w:r>
    </w:p>
    <w:p>
      <w:pPr>
        <w:pStyle w:val="ListParagraph"/>
        <w:numPr>
          <w:ilvl w:val="0"/>
          <w:numId w:val="2"/>
        </w:numPr>
        <w:spacing w:after="100" w:line="270"/>
      </w:pPr>
      <w:r>
        <w:rPr>
          <w:sz w:val="22"/>
          <w:szCs w:val="22"/>
        </w:rPr>
        <w:t xml:space="preserve">Customer acquisition cost (CAC) by channel, and CAC relative to first-order value</w:t>
      </w:r>
    </w:p>
    <w:p>
      <w:pPr>
        <w:pStyle w:val="ListParagraph"/>
        <w:numPr>
          <w:ilvl w:val="0"/>
          <w:numId w:val="2"/>
        </w:numPr>
        <w:spacing w:after="100" w:line="270"/>
      </w:pPr>
      <w:r>
        <w:rPr>
          <w:sz w:val="22"/>
          <w:szCs w:val="22"/>
        </w:rPr>
        <w:t xml:space="preserve">Visit-to-order conversion rate, and cart abandonment rate</w:t>
      </w:r>
    </w:p>
    <w:p>
      <w:pPr>
        <w:pStyle w:val="ListParagraph"/>
        <w:numPr>
          <w:ilvl w:val="0"/>
          <w:numId w:val="2"/>
        </w:numPr>
        <w:spacing w:after="100" w:line="270"/>
      </w:pPr>
      <w:r>
        <w:rPr>
          <w:sz w:val="22"/>
          <w:szCs w:val="22"/>
        </w:rPr>
        <w:t xml:space="preserve">Repeat purchase rate within 60 days (the strongest signal that trust is landing)</w:t>
      </w:r>
    </w:p>
    <w:p>
      <w:pPr>
        <w:pStyle w:val="ListParagraph"/>
        <w:numPr>
          <w:ilvl w:val="0"/>
          <w:numId w:val="2"/>
        </w:numPr>
        <w:spacing w:after="100" w:line="270"/>
      </w:pPr>
      <w:r>
        <w:rPr>
          <w:sz w:val="22"/>
          <w:szCs w:val="22"/>
        </w:rPr>
        <w:t xml:space="preserve">Delivery experience: on-time rate, failed-delivery rate, and any customer complaint themes</w:t>
      </w:r>
    </w:p>
    <w:p>
      <w:pPr>
        <w:pStyle w:val="ListParagraph"/>
        <w:numPr>
          <w:ilvl w:val="0"/>
          <w:numId w:val="2"/>
        </w:numPr>
        <w:spacing w:after="100" w:line="270"/>
      </w:pPr>
      <w:r>
        <w:rPr>
          <w:sz w:val="22"/>
          <w:szCs w:val="22"/>
        </w:rPr>
        <w:t xml:space="preserve">Active seller count, seller retention, and GMV per seller</w:t>
      </w:r>
    </w:p>
    <w:p>
      <w:pPr>
        <w:pStyle w:val="ListParagraph"/>
        <w:numPr>
          <w:ilvl w:val="0"/>
          <w:numId w:val="2"/>
        </w:numPr>
        <w:spacing w:after="100" w:line="270"/>
      </w:pPr>
      <w:r>
        <w:rPr>
          <w:sz w:val="22"/>
          <w:szCs w:val="22"/>
        </w:rPr>
        <w:t xml:space="preserve">Share of orders using Pooled Delivery vs. standard shipping (a proxy for how much the differentiator is actually being felt)</w:t>
      </w:r>
    </w:p>
    <w:p>
      <w:pPr>
        <w:pStyle w:val="ListParagraph"/>
        <w:numPr>
          <w:ilvl w:val="0"/>
          <w:numId w:val="2"/>
        </w:numPr>
        <w:spacing w:after="100" w:line="270"/>
      </w:pPr>
      <w:r>
        <w:rPr>
          <w:sz w:val="22"/>
          <w:szCs w:val="22"/>
        </w:rPr>
        <w:t xml:space="preserve">Referral program participation and referred-customer retention vs. paid-acquired customer retention</w:t>
      </w:r>
    </w:p>
    <w:p>
      <w:pPr>
        <w:pStyle w:val="Heading1"/>
        <w:pBdr>
          <w:bottom w:val="single" w:color="1F3A5F" w:sz="8" w:space="4"/>
        </w:pBdr>
        <w:spacing w:after="200" w:before="400"/>
      </w:pPr>
      <w:r>
        <w:t xml:space="preserve">11. Key Risks &amp; Mitigations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rPr>
          <w:tblHeader/>
        </w:trPr>
        <w:tc>
          <w:tcPr>
            <w:tcW w:type="dxa" w:w="3400"/>
            <w:shd w:fill="1F3A5F" w:val="clear"/>
            <w:tcMar>
              <w:top w:type="dxa" w:w="80"/>
              <w:left w:type="dxa" w:w="100"/>
              <w:bottom w:type="dxa" w:w="80"/>
              <w:right w:type="dxa" w:w="100"/>
            </w:tcMar>
            <w:vAlign w:val="center"/>
          </w:tcPr>
          <w:p>
            <w:pPr>
              <w:spacing w:after="0"/>
            </w:pPr>
            <w:r>
              <w:rPr>
                <w:b/>
                <w:bCs/>
                <w:color w:val="FFFFFF"/>
                <w:sz w:val="20"/>
                <w:szCs w:val="20"/>
              </w:rPr>
              <w:t xml:space="preserve">Risk</w:t>
            </w:r>
          </w:p>
        </w:tc>
        <w:tc>
          <w:tcPr>
            <w:tcW w:type="dxa" w:w="6600"/>
            <w:shd w:fill="1F3A5F" w:val="clear"/>
            <w:tcMar>
              <w:top w:type="dxa" w:w="80"/>
              <w:left w:type="dxa" w:w="100"/>
              <w:bottom w:type="dxa" w:w="80"/>
              <w:right w:type="dxa" w:w="100"/>
            </w:tcMar>
            <w:vAlign w:val="center"/>
          </w:tcPr>
          <w:p>
            <w:pPr>
              <w:spacing w:after="0"/>
            </w:pPr>
            <w:r>
              <w:rPr>
                <w:b/>
                <w:bCs/>
                <w:color w:val="FFFFFF"/>
                <w:sz w:val="20"/>
                <w:szCs w:val="20"/>
              </w:rPr>
              <w:t xml:space="preserve">Mitigation</w:t>
            </w:r>
          </w:p>
        </w:tc>
      </w:tr>
      <w:tr>
        <w:tc>
          <w:tcPr>
            <w:tcW w:type="dxa" w:w="34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Heavy paid-social reliance if algorithms or costs shift</w:t>
            </w:r>
          </w:p>
        </w:tc>
        <w:tc>
          <w:tcPr>
            <w:tcW w:type="dxa" w:w="66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Build owned channels early: WhatsApp catalog, email/SMS list, referral program — don't depend on Meta/TikTok alone</w:t>
            </w:r>
          </w:p>
        </w:tc>
      </w:tr>
      <w:tr>
        <w:tc>
          <w:tcPr>
            <w:tcW w:type="dxa" w:w="34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Persistent trust skepticism despite marketing</w:t>
            </w:r>
          </w:p>
        </w:tc>
        <w:tc>
          <w:tcPr>
            <w:tcW w:type="dxa" w:w="66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Lead every campaign with proof (tracking, OTP, reviews) rather than claims; consider a money-back-if-late guarantee for early cohorts</w:t>
            </w:r>
          </w:p>
        </w:tc>
      </w:tr>
      <w:tr>
        <w:tc>
          <w:tcPr>
            <w:tcW w:type="dxa" w:w="34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Payment friction if MoMo isn't front-and-center</w:t>
            </w:r>
          </w:p>
        </w:tc>
        <w:tc>
          <w:tcPr>
            <w:tcW w:type="dxa" w:w="66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Feature MoMo prominently at every checkout touchpoint and in ad creative — it should never feel like an afterthought payment option</w:t>
            </w:r>
          </w:p>
        </w:tc>
      </w:tr>
      <w:tr>
        <w:tc>
          <w:tcPr>
            <w:tcW w:type="dxa" w:w="34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Free-tier hosting cold starts hurting paid-traffic conversion</w:t>
            </w:r>
          </w:p>
        </w:tc>
        <w:tc>
          <w:tcPr>
            <w:tcW w:type="dxa" w:w="66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Upgrade hosting off the free-tier sleep-prone tier before running meaningful paid spend — a slow first load will undercut trust-focused creative</w:t>
            </w:r>
          </w:p>
        </w:tc>
      </w:tr>
      <w:tr>
        <w:tc>
          <w:tcPr>
            <w:tcW w:type="dxa" w:w="34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Price competition from Murukali/SokoMall on commoditized goods</w:t>
            </w:r>
          </w:p>
        </w:tc>
        <w:tc>
          <w:tcPr>
            <w:tcW w:type="dxa" w:w="6600"/>
            <w:shd w:fill="FFFFFF" w:val="clear"/>
            <w:tcMar>
              <w:top w:type="dxa" w:w="80"/>
              <w:left w:type="dxa" w:w="100"/>
              <w:bottom w:type="dxa" w:w="80"/>
              <w:right w:type="dxa" w:w="100"/>
            </w:tcMar>
            <w:vAlign w:val="center"/>
          </w:tcPr>
          <w:p>
            <w:pPr>
              <w:spacing w:after="0"/>
            </w:pPr>
            <w:r>
              <w:rPr>
                <w:b w:val="false"/>
                <w:bCs w:val="false"/>
                <w:color w:val="222222"/>
                <w:sz w:val="20"/>
                <w:szCs w:val="20"/>
              </w:rPr>
              <w:t xml:space="preserve">Keep the campaign narrative anchored to delivery reliability and buyer protection, not price, to avoid a race to the bottom</w:t>
            </w:r>
          </w:p>
        </w:tc>
      </w:tr>
      <w:tr>
        <w:tc>
          <w:tcPr>
            <w:tcW w:type="dxa" w:w="34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Over-investing in influencers/ads before trust content exists</w:t>
            </w:r>
          </w:p>
        </w:tc>
        <w:tc>
          <w:tcPr>
            <w:tcW w:type="dxa" w:w="6600"/>
            <w:shd w:fill="F2F2F2" w:val="clear"/>
            <w:tcMar>
              <w:top w:type="dxa" w:w="80"/>
              <w:left w:type="dxa" w:w="100"/>
              <w:bottom w:type="dxa" w:w="80"/>
              <w:right w:type="dxa" w:w="100"/>
            </w:tcMar>
            <w:vAlign w:val="center"/>
          </w:tcPr>
          <w:p>
            <w:pPr>
              <w:spacing w:after="0"/>
            </w:pPr>
            <w:r>
              <w:rPr>
                <w:b w:val="false"/>
                <w:bCs w:val="false"/>
                <w:color w:val="222222"/>
                <w:sz w:val="20"/>
                <w:szCs w:val="20"/>
              </w:rPr>
              <w:t xml:space="preserve">Sequence per the roadmap in Section 9 — proof content before broad paid reach</w:t>
            </w:r>
          </w:p>
        </w:tc>
      </w:tr>
    </w:tbl>
    <w:p>
      <w:pPr>
        <w:spacing w:after="200"/>
      </w:pPr>
    </w:p>
    <w:p>
      <w:pPr>
        <w:pBdr>
          <w:top w:val="single" w:color="CCCCCC" w:sz="6" w:space="8"/>
        </w:pBdr>
        <w:spacing w:before="200"/>
      </w:pPr>
      <w:r>
        <w:rPr>
          <w:i/>
          <w:iCs/>
          <w:color w:val="888888"/>
          <w:sz w:val="16"/>
          <w:szCs w:val="16"/>
        </w:rPr>
        <w:t xml:space="preserve">Sources: DataReportal Digital 2026 Rwanda report; TechCabal/Dabafinance reporting on Rwanda internet penetration; NapoleonCat and StateGlobe social media statistics; TechAfrica News and KT Press on MTN Rwanda/MoMo growth; company sites and press coverage of Murukali, SokoMall, Vuba Vuba, Kasha, Ubuy/Dubuy; academic and trade research on Rwandan e-commerce consumer trust (ResearchGate, trade.gov, DPO Group).</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The Quality Market — Kigali Marketing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2026-07-21T11:25:11.905Z</dcterms:created>
  <dcterms:modified xsi:type="dcterms:W3CDTF">2026-07-21T11:25:11.905Z</dcterms:modified>
</cp:coreProperties>
</file>

<file path=docProps/custom.xml><?xml version="1.0" encoding="utf-8"?>
<Properties xmlns="http://schemas.openxmlformats.org/officeDocument/2006/custom-properties" xmlns:vt="http://schemas.openxmlformats.org/officeDocument/2006/docPropsVTypes"/>
</file>