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76"/>
        <w:jc w:val="center"/>
      </w:pPr>
      <w:r>
        <w:rPr>
          <w:rFonts w:ascii="Times New Roman" w:cs="Times New Roman" w:eastAsia="Times New Roman" w:hAnsi="Times New Roman"/>
          <w:b/>
          <w:bCs/>
          <w:sz w:val="32"/>
          <w:szCs w:val="32"/>
        </w:rPr>
        <w:t xml:space="preserve">HỒ SƠ TRÌNH ĐÁNH GIÁ USECASE AI</w:t>
      </w:r>
    </w:p>
    <w:p>
      <w:pPr>
        <w:spacing w:after="40" w:line="276"/>
        <w:jc w:val="center"/>
      </w:pPr>
      <w:r>
        <w:rPr>
          <w:rFonts w:ascii="Times New Roman" w:cs="Times New Roman" w:eastAsia="Times New Roman" w:hAnsi="Times New Roman"/>
          <w:b/>
          <w:bCs/>
          <w:color w:val="C00000"/>
          <w:sz w:val="28"/>
          <w:szCs w:val="28"/>
        </w:rPr>
        <w:t xml:space="preserve">PCHEALTH AI AGENT 2000</w:t>
      </w:r>
    </w:p>
    <w:p>
      <w:pPr>
        <w:spacing w:after="300" w:line="276"/>
        <w:jc w:val="center"/>
      </w:pPr>
      <w:r>
        <w:rPr>
          <w:rFonts w:ascii="Times New Roman" w:cs="Times New Roman" w:eastAsia="Times New Roman" w:hAnsi="Times New Roman"/>
          <w:i/>
          <w:iCs/>
          <w:sz w:val="24"/>
          <w:szCs w:val="24"/>
        </w:rPr>
        <w:t xml:space="preserve">Giám sát sức khoẻ máy trạm và tự động hoá xử lý sự cố PC</w:t>
      </w:r>
    </w:p>
    <w:p>
      <w:pPr>
        <w:spacing w:after="300" w:line="276"/>
        <w:jc w:val="center"/>
      </w:pPr>
      <w:r>
        <w:rPr>
          <w:rFonts w:ascii="Times New Roman" w:cs="Times New Roman" w:eastAsia="Times New Roman" w:hAnsi="Times New Roman"/>
          <w:b/>
          <w:bCs/>
          <w:color w:val="C00000"/>
          <w:sz w:val="24"/>
          <w:szCs w:val="24"/>
        </w:rPr>
        <w:t xml:space="preserve">BẢN DỰ THẢO — chưa đủ điều kiện trình chính thức (xem Mục 7 — Audit)</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200"/>
      </w:tblGrid>
      <w:tr>
        <w:trPr>
          <w:tblHeader/>
        </w:trPr>
        <w:tc>
          <w:tcPr>
            <w:tcW w:type="dxa" w:w="3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Trường</w:t>
            </w:r>
          </w:p>
        </w:tc>
        <w:tc>
          <w:tcPr>
            <w:tcW w:type="dxa" w:w="6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Nội dung</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Đơn vị chủ trì</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Phòng Đối ngoại - Hành chính</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Đơn vị phối hợp</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TT NTCN&amp;CDS · P. CNTT · TTVHKTTC</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Người lập hồ sơ</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Nguyễn Công Kiên</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Ngày lập</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9/9/2026</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Giai đoạn UC</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Chạy thử trên môi trường ảo (Docker)</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Phiên bản hệ thống</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1.11.2</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Phiên bản hồ sơ</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1 — DỰ THẢO</w:t>
            </w:r>
          </w:p>
        </w:tc>
      </w:tr>
    </w:tbl>
    <w:p>
      <w:pPr>
        <w:pageBreakBefore/>
      </w:pPr>
    </w:p>
    <w:p>
      <w:pPr>
        <w:pStyle w:val="Heading1"/>
        <w:spacing w:after="160" w:before="280"/>
      </w:pPr>
      <w:r>
        <w:rPr>
          <w:rFonts w:ascii="Times New Roman" w:cs="Times New Roman" w:eastAsia="Times New Roman" w:hAnsi="Times New Roman"/>
          <w:b/>
          <w:bCs/>
          <w:sz w:val="28"/>
          <w:szCs w:val="28"/>
        </w:rPr>
        <w:t xml:space="preserve">1. Bài toán nghiệp vụ và mục tiêu</w:t>
      </w:r>
    </w:p>
    <w:p>
      <w:pPr>
        <w:pStyle w:val="Heading2"/>
        <w:spacing w:after="120" w:before="200"/>
      </w:pPr>
      <w:r>
        <w:rPr>
          <w:rFonts w:ascii="Times New Roman" w:cs="Times New Roman" w:eastAsia="Times New Roman" w:hAnsi="Times New Roman"/>
          <w:b/>
          <w:bCs/>
          <w:sz w:val="26"/>
          <w:szCs w:val="26"/>
        </w:rPr>
        <w:t xml:space="preserve">1.1. Phạm vi</w:t>
      </w:r>
    </w:p>
    <w:p>
      <w:pPr>
        <w:spacing w:after="120" w:line="276"/>
      </w:pPr>
      <w:r>
        <w:rPr>
          <w:rFonts w:ascii="Times New Roman" w:cs="Times New Roman" w:eastAsia="Times New Roman" w:hAnsi="Times New Roman"/>
          <w:sz w:val="26"/>
          <w:szCs w:val="26"/>
        </w:rPr>
        <w:t xml:space="preserve">2.000 máy trạm, triển khai theo mô hình client tự "kéo" lệnh (pull), theo 5 giai đoạn tăng dần quy mô và mức độ tự động hoá. Phạm vi loại trừ: chưa nêu.</w:t>
      </w:r>
    </w:p>
    <w:p>
      <w:pPr>
        <w:pStyle w:val="Heading2"/>
        <w:spacing w:after="120" w:before="200"/>
      </w:pPr>
      <w:r>
        <w:rPr>
          <w:rFonts w:ascii="Times New Roman" w:cs="Times New Roman" w:eastAsia="Times New Roman" w:hAnsi="Times New Roman"/>
          <w:b/>
          <w:bCs/>
          <w:sz w:val="26"/>
          <w:szCs w:val="26"/>
        </w:rPr>
        <w:t xml:space="preserve">1.2. Hiện trạng và vấn đề</w:t>
      </w:r>
    </w:p>
    <w:p>
      <w:pPr>
        <w:pStyle w:val="ListParagraph"/>
        <w:numPr>
          <w:ilvl w:val="0"/>
          <w:numId w:val="1"/>
        </w:numPr>
        <w:spacing w:after="80" w:line="276"/>
      </w:pPr>
      <w:r>
        <w:rPr>
          <w:rFonts w:ascii="Times New Roman" w:cs="Times New Roman" w:eastAsia="Times New Roman" w:hAnsi="Times New Roman"/>
          <w:sz w:val="26"/>
          <w:szCs w:val="26"/>
        </w:rPr>
        <w:t xml:space="preserve">Phát hiện muộn: sự cố ổ đĩa đầy, máy quá nhiệt, ổ cứng sắp hỏng thường chỉ được biết khi người dùng đã bị gián đoạn công việc.</w:t>
      </w:r>
    </w:p>
    <w:p>
      <w:pPr>
        <w:pStyle w:val="ListParagraph"/>
        <w:numPr>
          <w:ilvl w:val="0"/>
          <w:numId w:val="1"/>
        </w:numPr>
        <w:spacing w:after="80" w:line="276"/>
      </w:pPr>
      <w:r>
        <w:rPr>
          <w:rFonts w:ascii="Times New Roman" w:cs="Times New Roman" w:eastAsia="Times New Roman" w:hAnsi="Times New Roman"/>
          <w:sz w:val="26"/>
          <w:szCs w:val="26"/>
        </w:rPr>
        <w:t xml:space="preserve">Tốn nhân lực lặp lại: IT lặp lại các thao tác xử lý cơ bản giống nhau nhiều lần mỗi tháng.</w:t>
      </w:r>
    </w:p>
    <w:p>
      <w:pPr>
        <w:pStyle w:val="ListParagraph"/>
        <w:numPr>
          <w:ilvl w:val="0"/>
          <w:numId w:val="1"/>
        </w:numPr>
        <w:spacing w:after="80" w:line="276"/>
      </w:pPr>
      <w:r>
        <w:rPr>
          <w:rFonts w:ascii="Times New Roman" w:cs="Times New Roman" w:eastAsia="Times New Roman" w:hAnsi="Times New Roman"/>
          <w:sz w:val="26"/>
          <w:szCs w:val="26"/>
        </w:rPr>
        <w:t xml:space="preserve">Không có dữ liệu tổng thể: không trả lời nhanh được hiện có bao nhiêu máy đang ở mức rủi ro cao, xu hướng tăng hay giảm.</w:t>
      </w:r>
    </w:p>
    <w:p>
      <w:pPr>
        <w:pStyle w:val="Heading2"/>
        <w:spacing w:after="120" w:before="200"/>
      </w:pPr>
      <w:r>
        <w:rPr>
          <w:rFonts w:ascii="Times New Roman" w:cs="Times New Roman" w:eastAsia="Times New Roman" w:hAnsi="Times New Roman"/>
          <w:b/>
          <w:bCs/>
          <w:sz w:val="26"/>
          <w:szCs w:val="26"/>
        </w:rPr>
        <w:t xml:space="preserve">1.3. Baseline (thực tế ước lượng do người lập hồ sơ cung cấp, chưa đo qua hệ thống)</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00"/>
        <w:gridCol w:w="3400"/>
      </w:tblGrid>
      <w:tr>
        <w:trPr>
          <w:tblHeader/>
        </w:trPr>
        <w:tc>
          <w:tcPr>
            <w:tcW w:type="dxa" w:w="25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Chỉ số</w:t>
            </w:r>
          </w:p>
        </w:tc>
        <w:tc>
          <w:tcPr>
            <w:tcW w:type="dxa" w:w="35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Giá trị</w:t>
            </w:r>
          </w:p>
        </w:tc>
        <w:tc>
          <w:tcPr>
            <w:tcW w:type="dxa" w:w="34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Nguồn</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Ticket sự cố PC</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120/tháng</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Người lập hồ sơ cung cấp</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Tỷ lệ thuộc 4 nhóm hệ thống có thể tự xử lý</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10%</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Người lập hồ sơ cung cấp</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Thời gian xử lý trung bình</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15 phút/ticket</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Người lập hồ sơ cung cấp</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Ca hỏng ổ cứng không báo trước</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35/năm</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Người lập hồ sơ cung cấp (log yêu cầu thay ổ)</w:t>
            </w:r>
          </w:p>
        </w:tc>
      </w:tr>
    </w:tbl>
    <w:p>
      <w:pPr>
        <w:pStyle w:val="Heading2"/>
        <w:spacing w:after="120" w:before="200"/>
      </w:pPr>
      <w:r>
        <w:rPr>
          <w:rFonts w:ascii="Times New Roman" w:cs="Times New Roman" w:eastAsia="Times New Roman" w:hAnsi="Times New Roman"/>
          <w:b/>
          <w:bCs/>
          <w:sz w:val="26"/>
          <w:szCs w:val="26"/>
        </w:rPr>
        <w:t xml:space="preserve">1.4. Mục tiêu / KPI</w:t>
      </w:r>
    </w:p>
    <w:p>
      <w:pPr>
        <w:spacing w:after="120" w:line="276"/>
      </w:pPr>
      <w:r>
        <w:rPr>
          <w:rFonts w:ascii="Times New Roman" w:cs="Times New Roman" w:eastAsia="Times New Roman" w:hAnsi="Times New Roman"/>
          <w:sz w:val="26"/>
          <w:szCs w:val="26"/>
        </w:rPr>
        <w:t xml:space="preserve">Giữ trình bày định tính theo tài liệu gốc của dự án — không đưa số liệu phần trăm kỳ vọng cụ thể (ví dụ "giảm X% thời gian xử lý") vì hệ thống chưa triển khai lên máy thật nên chưa có số liệu đo được; đưa số liệu ước lượng vào đây sẽ là bịa đặt.</w:t>
      </w:r>
    </w:p>
    <w:p>
      <w:pPr>
        <w:spacing w:after="120" w:line="276"/>
      </w:pPr>
      <w:r>
        <w:rPr>
          <w:rFonts w:ascii="Times New Roman" w:cs="Times New Roman" w:eastAsia="Times New Roman" w:hAnsi="Times New Roman"/>
          <w:sz w:val="26"/>
          <w:szCs w:val="26"/>
        </w:rPr>
        <w:t xml:space="preserve">Kết quả kỹ thuật đã đo được tại môi trường thử nghiệm (đo ngày 11/9/2026, trên hệ thống đang chạy — đây là kết quả kỹ thuật, không phải KPI nghiệp vụ):</w:t>
      </w:r>
    </w:p>
    <w:p>
      <w:pPr>
        <w:pStyle w:val="ListParagraph"/>
        <w:numPr>
          <w:ilvl w:val="0"/>
          <w:numId w:val="1"/>
        </w:numPr>
        <w:spacing w:after="80" w:line="276"/>
      </w:pPr>
      <w:r>
        <w:rPr>
          <w:rFonts w:ascii="Times New Roman" w:cs="Times New Roman" w:eastAsia="Times New Roman" w:hAnsi="Times New Roman"/>
          <w:sz w:val="26"/>
          <w:szCs w:val="26"/>
        </w:rPr>
        <w:t xml:space="preserve">Luật ngưỡng chấm mức độ nghiêm trọng: đúng 10/10 máy (8 nguy hiểm, 2 cao, phủ 5 khu vực).</w:t>
      </w:r>
    </w:p>
    <w:p>
      <w:pPr>
        <w:pStyle w:val="ListParagraph"/>
        <w:numPr>
          <w:ilvl w:val="0"/>
          <w:numId w:val="1"/>
        </w:numPr>
        <w:spacing w:after="80" w:line="276"/>
      </w:pPr>
      <w:r>
        <w:rPr>
          <w:rFonts w:ascii="Times New Roman" w:cs="Times New Roman" w:eastAsia="Times New Roman" w:hAnsi="Times New Roman"/>
          <w:sz w:val="26"/>
          <w:szCs w:val="26"/>
        </w:rPr>
        <w:t xml:space="preserve">Lớp chặn an toàn trước khi chạy lệnh: 6/6 tình huống bị chặn đúng.</w:t>
      </w:r>
    </w:p>
    <w:p>
      <w:pPr>
        <w:pStyle w:val="ListParagraph"/>
        <w:numPr>
          <w:ilvl w:val="0"/>
          <w:numId w:val="1"/>
        </w:numPr>
        <w:spacing w:after="80" w:line="276"/>
      </w:pPr>
      <w:r>
        <w:rPr>
          <w:rFonts w:ascii="Times New Roman" w:cs="Times New Roman" w:eastAsia="Times New Roman" w:hAnsi="Times New Roman"/>
          <w:sz w:val="26"/>
          <w:szCs w:val="26"/>
        </w:rPr>
        <w:t xml:space="preserve">Vòng nhận và thực thi lệnh trên máy trạm: trọn vòng, không chạy trùng lệnh.</w:t>
      </w:r>
    </w:p>
    <w:p>
      <w:pPr>
        <w:pStyle w:val="ListParagraph"/>
        <w:numPr>
          <w:ilvl w:val="0"/>
          <w:numId w:val="1"/>
        </w:numPr>
        <w:spacing w:after="80" w:line="276"/>
      </w:pPr>
      <w:r>
        <w:rPr>
          <w:rFonts w:ascii="Times New Roman" w:cs="Times New Roman" w:eastAsia="Times New Roman" w:hAnsi="Times New Roman"/>
          <w:sz w:val="26"/>
          <w:szCs w:val="26"/>
        </w:rPr>
        <w:t xml:space="preserve">Dashboard theo khu vực: 280/280 truy vấn chạy được, 30 bảng điều khiển, 0 lỗi.</w:t>
      </w:r>
    </w:p>
    <w:p>
      <w:pPr>
        <w:pStyle w:val="ListParagraph"/>
        <w:numPr>
          <w:ilvl w:val="0"/>
          <w:numId w:val="1"/>
        </w:numPr>
        <w:spacing w:after="80" w:line="276"/>
      </w:pPr>
      <w:r>
        <w:rPr>
          <w:rFonts w:ascii="Times New Roman" w:cs="Times New Roman" w:eastAsia="Times New Roman" w:hAnsi="Times New Roman"/>
          <w:sz w:val="26"/>
          <w:szCs w:val="26"/>
        </w:rPr>
        <w:t xml:space="preserve">Phân quyền khu vực: IT khu vực không xem được khu vực khác — chặn ở tầng dữ liệu.</w:t>
      </w:r>
    </w:p>
    <w:p>
      <w:pPr>
        <w:pStyle w:val="ListParagraph"/>
        <w:numPr>
          <w:ilvl w:val="0"/>
          <w:numId w:val="1"/>
        </w:numPr>
        <w:spacing w:after="80" w:line="276"/>
      </w:pPr>
      <w:r>
        <w:rPr>
          <w:rFonts w:ascii="Times New Roman" w:cs="Times New Roman" w:eastAsia="Times New Roman" w:hAnsi="Times New Roman"/>
          <w:sz w:val="26"/>
          <w:szCs w:val="26"/>
        </w:rPr>
        <w:t xml:space="preserve">Bộ kiểm thử tự động: 18/18 đạt.</w:t>
      </w:r>
    </w:p>
    <w:p>
      <w:pPr>
        <w:pStyle w:val="Heading2"/>
        <w:spacing w:after="120" w:before="200"/>
      </w:pPr>
      <w:r>
        <w:rPr>
          <w:rFonts w:ascii="Times New Roman" w:cs="Times New Roman" w:eastAsia="Times New Roman" w:hAnsi="Times New Roman"/>
          <w:b/>
          <w:bCs/>
          <w:sz w:val="26"/>
          <w:szCs w:val="26"/>
        </w:rPr>
        <w:t xml:space="preserve">1.5. Vai trò của AI</w:t>
      </w:r>
    </w:p>
    <w:p>
      <w:pPr>
        <w:spacing w:after="120" w:line="276"/>
      </w:pPr>
      <w:r>
        <w:rPr>
          <w:rFonts w:ascii="Times New Roman" w:cs="Times New Roman" w:eastAsia="Times New Roman" w:hAnsi="Times New Roman"/>
          <w:sz w:val="26"/>
          <w:szCs w:val="26"/>
        </w:rPr>
        <w:t xml:space="preserve">AI đảm nhiệm bước phân tích nguyên nhân và đề xuất script khắc phục — chỉ được gọi sau khi Rule Engine (ngưỡng định lượng) đã xác nhận có bất thường thật sự. AI không có quyền tự quyết định thực thi hành động. Mô tả kỹ thuật chi tiết đặt tại Mục 2.</w:t>
      </w:r>
    </w:p>
    <w:p>
      <w:pPr>
        <w:pStyle w:val="Heading1"/>
        <w:spacing w:after="160" w:before="280"/>
      </w:pPr>
      <w:r>
        <w:rPr>
          <w:rFonts w:ascii="Times New Roman" w:cs="Times New Roman" w:eastAsia="Times New Roman" w:hAnsi="Times New Roman"/>
          <w:b/>
          <w:bCs/>
          <w:sz w:val="28"/>
          <w:szCs w:val="28"/>
        </w:rPr>
        <w:t xml:space="preserve">2. Giải pháp và thành phần AI</w:t>
      </w:r>
    </w:p>
    <w:p>
      <w:pPr>
        <w:pStyle w:val="Heading2"/>
        <w:spacing w:after="120" w:before="200"/>
      </w:pPr>
      <w:r>
        <w:rPr>
          <w:rFonts w:ascii="Times New Roman" w:cs="Times New Roman" w:eastAsia="Times New Roman" w:hAnsi="Times New Roman"/>
          <w:b/>
          <w:bCs/>
          <w:sz w:val="26"/>
          <w:szCs w:val="26"/>
        </w:rPr>
        <w:t xml:space="preserve">2.1. Luồng xử lý tổng thể</w:t>
      </w:r>
    </w:p>
    <w:p>
      <w:pPr>
        <w:spacing w:after="120" w:line="276"/>
      </w:pPr>
      <w:r>
        <w:rPr>
          <w:rFonts w:ascii="Times New Roman" w:cs="Times New Roman" w:eastAsia="Times New Roman" w:hAnsi="Times New Roman"/>
          <w:sz w:val="26"/>
          <w:szCs w:val="26"/>
        </w:rPr>
        <w:t xml:space="preserve">Client thu thập 6 nhóm chỉ số (hiệu năng CPU/RAM/disk, ổ đĩa/SMART, Event Log, dịch vụ &amp; tiến trình, cập nhật &amp; bảo mật, mạng) mỗi 5 phút, gộp thành 1 JSON với severity bằng mức cao nhất trong các phát hiện → Rule Engine đánh giá theo 4 mức (bình thường / cảnh báo / cao / nguy hiểm, có cơ chế "sustained" chống báo động giả) → khi vượt mức cao/nguy hiểm mới gọi AI phân tích nguyên nhân và đề xuất script → policy cứng phía server (allowlist + canary + rate-limit) kiểm tra lại toàn bộ đề xuất → nếu đạt điều kiện, đưa vào hàng đợi lệnh để client tự pull; nếu không đạt, chuyển người duyệt (IT) → toàn bộ được ghi log → hiển thị qua dashboard Grafana (chỉ đọc).</w:t>
      </w:r>
    </w:p>
    <w:p>
      <w:pPr>
        <w:pStyle w:val="Heading2"/>
        <w:spacing w:after="120" w:before="200"/>
      </w:pPr>
      <w:r>
        <w:rPr>
          <w:rFonts w:ascii="Times New Roman" w:cs="Times New Roman" w:eastAsia="Times New Roman" w:hAnsi="Times New Roman"/>
          <w:b/>
          <w:bCs/>
          <w:sz w:val="26"/>
          <w:szCs w:val="26"/>
        </w:rPr>
        <w:t xml:space="preserve">2.2. Phân biệt AI với tự động hoá thông thường</w:t>
      </w:r>
    </w:p>
    <w:p>
      <w:pPr>
        <w:spacing w:after="120" w:line="276"/>
      </w:pPr>
      <w:r>
        <w:rPr>
          <w:rFonts w:ascii="Times New Roman" w:cs="Times New Roman" w:eastAsia="Times New Roman" w:hAnsi="Times New Roman"/>
          <w:sz w:val="26"/>
          <w:szCs w:val="26"/>
        </w:rPr>
        <w:t xml:space="preserve">Rule Engine (ngưỡng số, có thể kiểm chứng và unit-test) là tự động hoá thông thường, không phải AI. AI chỉ đảm nhiệm câu hỏi khó hơn: "vì sao" một chỉ số bất thường và có nên hành động gì không — AI không có quyền tự thực thi.</w:t>
      </w:r>
    </w:p>
    <w:p>
      <w:pPr>
        <w:pStyle w:val="Heading2"/>
        <w:spacing w:after="120" w:before="200"/>
      </w:pPr>
      <w:r>
        <w:rPr>
          <w:rFonts w:ascii="Times New Roman" w:cs="Times New Roman" w:eastAsia="Times New Roman" w:hAnsi="Times New Roman"/>
          <w:b/>
          <w:bCs/>
          <w:sz w:val="26"/>
          <w:szCs w:val="26"/>
        </w:rPr>
        <w:t xml:space="preserve">2.3. Mô hình AI</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200"/>
      </w:tblGrid>
      <w:tr>
        <w:trPr>
          <w:tblHeader/>
        </w:trPr>
        <w:tc>
          <w:tcPr>
            <w:tcW w:type="dxa" w:w="3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Trường</w:t>
            </w:r>
          </w:p>
        </w:tc>
        <w:tc>
          <w:tcPr>
            <w:tcW w:type="dxa" w:w="6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Nội dung</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Nền tảng / tên mô hình</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NetMind, NetAgent — nền tảng AI nội bộ của VTNet</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Nhiệm vụ</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Phân tích nguyên nhân bất thường và đề xuất script khắc phục kèm độ tin cậy</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Nhà cung cấp</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VTNet (nội bộ)</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Phiên bản cụ thể</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xác định</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Hình thức tích hợp (API nội bộ / SDK / on-prem)</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xác định</w:t>
            </w:r>
          </w:p>
        </w:tc>
      </w:tr>
    </w:tbl>
    <w:p>
      <w:pPr>
        <w:spacing w:after="140" w:line="276"/>
      </w:pPr>
      <w:r>
        <w:rPr>
          <w:rFonts w:ascii="Times New Roman" w:cs="Times New Roman" w:eastAsia="Times New Roman" w:hAnsi="Times New Roman"/>
          <w:b/>
          <w:bCs/>
          <w:color w:val="C00000"/>
          <w:sz w:val="24"/>
          <w:szCs w:val="24"/>
        </w:rPr>
        <w:t xml:space="preserve">⚠ Phiên bản cụ thể và hình thức tích hợp của NetMind/NetAgent chưa được xác định tại thời điểm lập hồ sơ (hệ thống đang ở giai đoạn chạy thử). Đây là điểm cần bổ sung bắt buộc trước khi hồ sơ đủ điều kiện trình chính thức — xem Mục 7, tiêu chí A03.</w:t>
      </w:r>
    </w:p>
    <w:p>
      <w:pPr>
        <w:pStyle w:val="Heading2"/>
        <w:spacing w:after="120" w:before="200"/>
      </w:pPr>
      <w:r>
        <w:rPr>
          <w:rFonts w:ascii="Times New Roman" w:cs="Times New Roman" w:eastAsia="Times New Roman" w:hAnsi="Times New Roman"/>
          <w:b/>
          <w:bCs/>
          <w:sz w:val="26"/>
          <w:szCs w:val="26"/>
        </w:rPr>
        <w:t xml:space="preserve">2.4. Cách phát triển / khai thác</w:t>
      </w:r>
    </w:p>
    <w:p>
      <w:pPr>
        <w:spacing w:after="120" w:line="276"/>
      </w:pPr>
      <w:r>
        <w:rPr>
          <w:rFonts w:ascii="Times New Roman" w:cs="Times New Roman" w:eastAsia="Times New Roman" w:hAnsi="Times New Roman"/>
          <w:sz w:val="26"/>
          <w:szCs w:val="26"/>
        </w:rPr>
        <w:t xml:space="preserve">Toàn bộ hệ thống (client, API, Rule Engine, workflow n8n, dashboard) được người lập hồ sơ tự viết từ đầu, có sử dụng Claude Code như công cụ hỗ trợ lập trình — đây là công cụ phát triển, không phải mô hình AI chạy trong sản phẩm. Cách khai thác cụ thể NetMind/NetAgent cho bước phân tích (dùng mô hình có sẵn, có tinh chỉnh, hay kết hợp RAG) chưa được nêu rõ, gắn cùng điểm thiếu ở mục 2.3.</w:t>
      </w:r>
    </w:p>
    <w:p>
      <w:pPr>
        <w:pStyle w:val="Heading2"/>
        <w:spacing w:after="120" w:before="200"/>
      </w:pPr>
      <w:r>
        <w:rPr>
          <w:rFonts w:ascii="Times New Roman" w:cs="Times New Roman" w:eastAsia="Times New Roman" w:hAnsi="Times New Roman"/>
          <w:b/>
          <w:bCs/>
          <w:sz w:val="26"/>
          <w:szCs w:val="26"/>
        </w:rPr>
        <w:t xml:space="preserve">2.5. Đầu vào / đầu ra</w:t>
      </w:r>
    </w:p>
    <w:p>
      <w:pPr>
        <w:spacing w:after="120" w:line="276"/>
      </w:pPr>
      <w:r>
        <w:rPr>
          <w:rFonts w:ascii="Times New Roman" w:cs="Times New Roman" w:eastAsia="Times New Roman" w:hAnsi="Times New Roman"/>
          <w:sz w:val="26"/>
          <w:szCs w:val="26"/>
        </w:rPr>
        <w:t xml:space="preserve">Đầu vào: JSON findings gộp từ 6 collector, có chứa computer_name (định danh máy người dùng). Đầu ra: script_id đề xuất, kèm cờ "tự động chạy" hoặc "cần người duyệt" và độ tin cậy.</w:t>
      </w:r>
    </w:p>
    <w:p>
      <w:pPr>
        <w:spacing w:after="120" w:line="276"/>
      </w:pPr>
      <w:r>
        <w:rPr>
          <w:rFonts w:ascii="Times New Roman" w:cs="Times New Roman" w:eastAsia="Times New Roman" w:hAnsi="Times New Roman"/>
          <w:sz w:val="26"/>
          <w:szCs w:val="26"/>
        </w:rPr>
        <w:t xml:space="preserve">Quyền sử dụng dữ liệu: dữ liệu nội bộ (theo xác nhận của người lập hồ sơ); văn bản/căn cứ pháp lý cụ thể về phạm vi sử dụng dữ liệu — chưa có.</w:t>
      </w:r>
    </w:p>
    <w:p>
      <w:pPr>
        <w:pStyle w:val="Heading2"/>
        <w:spacing w:after="120" w:before="200"/>
      </w:pPr>
      <w:r>
        <w:rPr>
          <w:rFonts w:ascii="Times New Roman" w:cs="Times New Roman" w:eastAsia="Times New Roman" w:hAnsi="Times New Roman"/>
          <w:b/>
          <w:bCs/>
          <w:sz w:val="26"/>
          <w:szCs w:val="26"/>
        </w:rPr>
        <w:t xml:space="preserve">2.6. Tuân thủ bảo vệ dữ liệu</w:t>
      </w:r>
    </w:p>
    <w:p>
      <w:pPr>
        <w:spacing w:after="120" w:line="276"/>
      </w:pPr>
      <w:r>
        <w:rPr>
          <w:rFonts w:ascii="Times New Roman" w:cs="Times New Roman" w:eastAsia="Times New Roman" w:hAnsi="Times New Roman"/>
          <w:sz w:val="26"/>
          <w:szCs w:val="26"/>
        </w:rPr>
        <w:t xml:space="preserve">UC bắt buộc áp dụng nguyên tắc tự lưu trữ nội bộ (self-host), không đưa dữ liệu vận hành ra nền tảng bên ngoài — đã được người lập hồ sơ xác nhận áp dụng cho UC này.</w:t>
      </w:r>
    </w:p>
    <w:p>
      <w:pPr>
        <w:pStyle w:val="Heading1"/>
        <w:spacing w:after="160" w:before="280"/>
      </w:pPr>
      <w:r>
        <w:rPr>
          <w:rFonts w:ascii="Times New Roman" w:cs="Times New Roman" w:eastAsia="Times New Roman" w:hAnsi="Times New Roman"/>
          <w:b/>
          <w:bCs/>
          <w:sz w:val="28"/>
          <w:szCs w:val="28"/>
        </w:rPr>
        <w:t xml:space="preserve">3. Chất lượng, kiểm thử và vận hành</w:t>
      </w:r>
    </w:p>
    <w:p>
      <w:pPr>
        <w:pStyle w:val="Heading2"/>
        <w:spacing w:after="120" w:before="200"/>
      </w:pPr>
      <w:r>
        <w:rPr>
          <w:rFonts w:ascii="Times New Roman" w:cs="Times New Roman" w:eastAsia="Times New Roman" w:hAnsi="Times New Roman"/>
          <w:b/>
          <w:bCs/>
          <w:sz w:val="26"/>
          <w:szCs w:val="26"/>
        </w:rPr>
        <w:t xml:space="preserve">3.1. Kiểm thử</w:t>
      </w:r>
    </w:p>
    <w:p>
      <w:pPr>
        <w:spacing w:after="120" w:line="276"/>
      </w:pPr>
      <w:r>
        <w:rPr>
          <w:rFonts w:ascii="Times New Roman" w:cs="Times New Roman" w:eastAsia="Times New Roman" w:hAnsi="Times New Roman"/>
          <w:sz w:val="26"/>
          <w:szCs w:val="26"/>
        </w:rPr>
        <w:t xml:space="preserve">Bộ 18 ca kiểm thử (ai_agent/eval-cases.md) đã chạy trên môi trường Docker ảo, do Claude Code thực hiện, đạt 18/18. Nội dung/thang đo chi tiết của từng ca (kiểm tra chức năng/an toàn hay có đánh giá độ chính xác nhận định của AI) chưa được mô tả đầy đủ. Kế hoạch tiếp theo: thử nghiệm quy mô nhỏ 5–10 máy thật.</w:t>
      </w:r>
    </w:p>
    <w:p>
      <w:pPr>
        <w:spacing w:after="120" w:line="276"/>
      </w:pPr>
      <w:r>
        <w:rPr>
          <w:rFonts w:ascii="Times New Roman" w:cs="Times New Roman" w:eastAsia="Times New Roman" w:hAnsi="Times New Roman"/>
          <w:sz w:val="26"/>
          <w:szCs w:val="26"/>
        </w:rPr>
        <w:t xml:space="preserve">Ngưỡng go/no-go chính thức để chuyển sang giai đoạn AI phân tích chạy thật (theo lộ trình): tối thiểu 30 nhận định AI được IT đánh giá, đạt tối thiểu 80% đúng — chưa thực hiện, phù hợp với giai đoạn hiện tại (mới chạy thử trên Docker).</w:t>
      </w:r>
    </w:p>
    <w:p>
      <w:pPr>
        <w:pStyle w:val="Heading2"/>
        <w:spacing w:after="120" w:before="200"/>
      </w:pPr>
      <w:r>
        <w:rPr>
          <w:rFonts w:ascii="Times New Roman" w:cs="Times New Roman" w:eastAsia="Times New Roman" w:hAnsi="Times New Roman"/>
          <w:b/>
          <w:bCs/>
          <w:sz w:val="26"/>
          <w:szCs w:val="26"/>
        </w:rPr>
        <w:t xml:space="preserve">3.2. Con người giám sát và phê duyệt</w:t>
      </w:r>
    </w:p>
    <w:p>
      <w:pPr>
        <w:spacing w:after="120" w:line="276"/>
      </w:pPr>
      <w:r>
        <w:rPr>
          <w:rFonts w:ascii="Times New Roman" w:cs="Times New Roman" w:eastAsia="Times New Roman" w:hAnsi="Times New Roman"/>
          <w:sz w:val="26"/>
          <w:szCs w:val="26"/>
        </w:rPr>
        <w:t xml:space="preserve">Giai đoạn Human-in-the-loop yêu cầu mọi hành động đều phải qua người duyệt (IT) trước khi được phép chạy tự động. Vai trò và phạm vi xử lý:</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200"/>
      </w:tblGrid>
      <w:tr>
        <w:trPr>
          <w:tblHeader/>
        </w:trPr>
        <w:tc>
          <w:tcPr>
            <w:tcW w:type="dxa" w:w="3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Vai trò</w:t>
            </w:r>
          </w:p>
        </w:tc>
        <w:tc>
          <w:tcPr>
            <w:tcW w:type="dxa" w:w="6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Phạm vi xử lý</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Kỹ thuật viên trực</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Sự cố triển khai từng giai đoạn, đọc dashboard, xử lý cảnh báo cao/nguy hiểm</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Trưởng nhóm IT</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Quyết định go/no-go chuyển giai đoạn, phê duyệt mở rộng canary tự động hoá</w:t>
            </w:r>
          </w:p>
        </w:tc>
      </w:tr>
      <w:tr>
        <w:tc>
          <w:tcPr>
            <w:tcW w:type="dxa" w:w="3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Quản trị hệ thống</w:t>
            </w:r>
          </w:p>
        </w:tc>
        <w:tc>
          <w:tcPr>
            <w:tcW w:type="dxa" w:w="6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Vận hành hạ tầng, InfluxDB, backup, xoay vòng khoá API</w:t>
            </w:r>
          </w:p>
        </w:tc>
      </w:tr>
    </w:tbl>
    <w:p>
      <w:pPr>
        <w:pStyle w:val="Heading2"/>
        <w:spacing w:after="120" w:before="200"/>
      </w:pPr>
      <w:r>
        <w:rPr>
          <w:rFonts w:ascii="Times New Roman" w:cs="Times New Roman" w:eastAsia="Times New Roman" w:hAnsi="Times New Roman"/>
          <w:b/>
          <w:bCs/>
          <w:sz w:val="26"/>
          <w:szCs w:val="26"/>
        </w:rPr>
        <w:t xml:space="preserve">3.3. Nhật ký và cảnh báo</w:t>
      </w:r>
    </w:p>
    <w:p>
      <w:pPr>
        <w:spacing w:after="120" w:line="276"/>
      </w:pPr>
      <w:r>
        <w:rPr>
          <w:rFonts w:ascii="Times New Roman" w:cs="Times New Roman" w:eastAsia="Times New Roman" w:hAnsi="Times New Roman"/>
          <w:sz w:val="26"/>
          <w:szCs w:val="26"/>
        </w:rPr>
        <w:t xml:space="preserve">Nhật ký ghi vào InfluxDB (bảng pchealth_command_result, pchealth_ai_finding), lưu 90 ngày. Đầu ra của AI được lưu bổ sung trên server nội bộ; thời hạn lưu dài hạn cụ thể ngoài 90 ngày chưa được nêu thêm.</w:t>
      </w:r>
    </w:p>
    <w:p>
      <w:pPr>
        <w:spacing w:after="120" w:line="276"/>
      </w:pPr>
      <w:r>
        <w:rPr>
          <w:rFonts w:ascii="Times New Roman" w:cs="Times New Roman" w:eastAsia="Times New Roman" w:hAnsi="Times New Roman"/>
          <w:sz w:val="26"/>
          <w:szCs w:val="26"/>
        </w:rPr>
        <w:t xml:space="preserve">Cảnh báo qua Telegram/Zalo khi severity ở mức cao trở lên; báo cáo định kỳ theo lịch (ngày/tuần); giám sát chính hệ thống giám sát qua healthcheck từng container, có cảnh báo riêng nếu API không nhận dữ liệu từ trên 5% số máy trong 1 giờ.</w:t>
      </w:r>
    </w:p>
    <w:p>
      <w:pPr>
        <w:pStyle w:val="Heading2"/>
        <w:spacing w:after="120" w:before="200"/>
      </w:pPr>
      <w:r>
        <w:rPr>
          <w:rFonts w:ascii="Times New Roman" w:cs="Times New Roman" w:eastAsia="Times New Roman" w:hAnsi="Times New Roman"/>
          <w:b/>
          <w:bCs/>
          <w:sz w:val="26"/>
          <w:szCs w:val="26"/>
        </w:rPr>
        <w:t xml:space="preserve">3.4. Xử lý sai lệch / phanh khẩn cấp</w:t>
      </w:r>
    </w:p>
    <w:p>
      <w:pPr>
        <w:spacing w:after="120" w:line="276"/>
      </w:pPr>
      <w:r>
        <w:rPr>
          <w:rFonts w:ascii="Times New Roman" w:cs="Times New Roman" w:eastAsia="Times New Roman" w:hAnsi="Times New Roman"/>
          <w:sz w:val="26"/>
          <w:szCs w:val="26"/>
        </w:rPr>
        <w:t xml:space="preserve">Cơ chế circuit breaker: tự động dừng rollout tự động hoá nếu tỷ lệ lỗi vượt 2% ở bất kỳ bước canary nào (1% → 10% → 100%), báo cho IT.</w:t>
      </w:r>
    </w:p>
    <w:p>
      <w:pPr>
        <w:pStyle w:val="Heading2"/>
        <w:spacing w:after="120" w:before="200"/>
      </w:pPr>
      <w:r>
        <w:rPr>
          <w:rFonts w:ascii="Times New Roman" w:cs="Times New Roman" w:eastAsia="Times New Roman" w:hAnsi="Times New Roman"/>
          <w:b/>
          <w:bCs/>
          <w:sz w:val="26"/>
          <w:szCs w:val="26"/>
        </w:rPr>
        <w:t xml:space="preserve">3.5. Hạ tầng và tài nguyên</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00"/>
        <w:gridCol w:w="3400"/>
      </w:tblGrid>
      <w:tr>
        <w:trPr>
          <w:tblHeader/>
        </w:trPr>
        <w:tc>
          <w:tcPr>
            <w:tcW w:type="dxa" w:w="25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Thành phần</w:t>
            </w:r>
          </w:p>
        </w:tc>
        <w:tc>
          <w:tcPr>
            <w:tcW w:type="dxa" w:w="35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Cấu hình khuyến nghị</w:t>
            </w:r>
          </w:p>
        </w:tc>
        <w:tc>
          <w:tcPr>
            <w:tcW w:type="dxa" w:w="34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Ghi chú tải thực tế</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API (FastAPI)</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2 vCPU / 4GB RAM, 2–3 replica</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Xem cảnh báo mâu thuẫn số liệu bên dưới</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InfluxDB</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4 vCPU / 8GB RAM, SSD</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≈80.000–120.000 điểm dữ liệu/giờ với 2.000 máy</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n8n</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2 vCPU / 4GB RAM</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Tải phụ thuộc số sự kiện cao/nguy hiểm thực tế</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Grafana</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1 vCPU / 2GB RAM</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Chỉ đọc, tải nhẹ</w:t>
            </w:r>
          </w:p>
        </w:tc>
      </w:tr>
    </w:tbl>
    <w:p>
      <w:pPr>
        <w:spacing w:after="120" w:line="276"/>
      </w:pPr>
      <w:r>
        <w:rPr>
          <w:rFonts w:ascii="Times New Roman" w:cs="Times New Roman" w:eastAsia="Times New Roman" w:hAnsi="Times New Roman"/>
          <w:sz w:val="26"/>
          <w:szCs w:val="26"/>
        </w:rPr>
        <w:t xml:space="preserve">Tải mỗi máy trạm: 0,38% một lõi CPU (8 giây mỗi 15 phút), 3,3 MB ổ đĩa, ~14 KB mạng mỗi lần gửi. Tải server: dưới 0,5 lõi lúc cao điểm với đủ 2.000 máy. Dung lượng lưu trữ: 135 MB/ngày cho 2.000 máy — 100 GB đĩa đủ dùng 1 năm nếu bật cơ chế tự xoá dữ liệu quá hạn.</w:t>
      </w:r>
    </w:p>
    <w:p>
      <w:pPr>
        <w:spacing w:after="140" w:line="276"/>
      </w:pPr>
      <w:r>
        <w:rPr>
          <w:rFonts w:ascii="Times New Roman" w:cs="Times New Roman" w:eastAsia="Times New Roman" w:hAnsi="Times New Roman"/>
          <w:b/>
          <w:bCs/>
          <w:color w:val="C00000"/>
          <w:sz w:val="24"/>
          <w:szCs w:val="24"/>
        </w:rPr>
        <w:t xml:space="preserve">⚠ Tải API của toàn hệ thống được ghi nhận khác nhau giữa hai tài liệu nguồn: 6,7 request/giây (số đã cập nhật, tính thêm tính năng tự cập nhật agent) và 4,5 request/giây (số cũ, trước khi có tính năng này). Chưa được xác nhận dùng số nào — không ảnh hưởng kết luận ở quy mô Giai đoạn 1 (50–200 máy), cần chốt trước khi lập kế hoạch hạ tầng cho các giai đoạn mở rộng tiếp theo.</w:t>
      </w:r>
    </w:p>
    <w:p>
      <w:pPr>
        <w:pStyle w:val="Heading2"/>
        <w:spacing w:after="120" w:before="200"/>
      </w:pPr>
      <w:r>
        <w:rPr>
          <w:rFonts w:ascii="Times New Roman" w:cs="Times New Roman" w:eastAsia="Times New Roman" w:hAnsi="Times New Roman"/>
          <w:b/>
          <w:bCs/>
          <w:sz w:val="26"/>
          <w:szCs w:val="26"/>
        </w:rPr>
        <w:t xml:space="preserve">3.6. Nhân lực vận hành</w:t>
      </w:r>
    </w:p>
    <w:p>
      <w:pPr>
        <w:spacing w:after="120" w:line="276"/>
      </w:pPr>
      <w:r>
        <w:rPr>
          <w:rFonts w:ascii="Times New Roman" w:cs="Times New Roman" w:eastAsia="Times New Roman" w:hAnsi="Times New Roman"/>
          <w:sz w:val="26"/>
          <w:szCs w:val="26"/>
        </w:rPr>
        <w:t xml:space="preserve">4 người, phân theo khu vực: KCQ 1 người, KV1 1 người, KV2 1 người, KV3 1 người.</w:t>
      </w:r>
    </w:p>
    <w:p>
      <w:pPr>
        <w:pStyle w:val="Heading2"/>
        <w:spacing w:after="120" w:before="200"/>
      </w:pPr>
      <w:r>
        <w:rPr>
          <w:rFonts w:ascii="Times New Roman" w:cs="Times New Roman" w:eastAsia="Times New Roman" w:hAnsi="Times New Roman"/>
          <w:b/>
          <w:bCs/>
          <w:sz w:val="26"/>
          <w:szCs w:val="26"/>
        </w:rPr>
        <w:t xml:space="preserve">3.7. Chi phí nguồn</w:t>
      </w:r>
    </w:p>
    <w:p>
      <w:pPr>
        <w:pStyle w:val="ListParagraph"/>
        <w:numPr>
          <w:ilvl w:val="0"/>
          <w:numId w:val="1"/>
        </w:numPr>
        <w:spacing w:after="80" w:line="276"/>
      </w:pPr>
      <w:r>
        <w:rPr>
          <w:rFonts w:ascii="Times New Roman" w:cs="Times New Roman" w:eastAsia="Times New Roman" w:hAnsi="Times New Roman"/>
          <w:sz w:val="26"/>
          <w:szCs w:val="26"/>
        </w:rPr>
        <w:t xml:space="preserve">Hạ tầng: theo sizing ở mục 3.5, chưa có đơn giá tiền cụ thể.</w:t>
      </w:r>
    </w:p>
    <w:p>
      <w:pPr>
        <w:pStyle w:val="ListParagraph"/>
        <w:numPr>
          <w:ilvl w:val="0"/>
          <w:numId w:val="1"/>
        </w:numPr>
        <w:spacing w:after="80" w:line="276"/>
      </w:pPr>
      <w:r>
        <w:rPr>
          <w:rFonts w:ascii="Times New Roman" w:cs="Times New Roman" w:eastAsia="Times New Roman" w:hAnsi="Times New Roman"/>
          <w:sz w:val="26"/>
          <w:szCs w:val="26"/>
        </w:rPr>
        <w:t xml:space="preserve">Gọi NetMind/NetAgent: 0 đồng — dịch vụ nội bộ VTNet, miễn phí.</w:t>
      </w:r>
    </w:p>
    <w:p>
      <w:pPr>
        <w:pStyle w:val="ListParagraph"/>
        <w:numPr>
          <w:ilvl w:val="0"/>
          <w:numId w:val="1"/>
        </w:numPr>
        <w:spacing w:after="80" w:line="276"/>
      </w:pPr>
      <w:r>
        <w:rPr>
          <w:rFonts w:ascii="Times New Roman" w:cs="Times New Roman" w:eastAsia="Times New Roman" w:hAnsi="Times New Roman"/>
          <w:sz w:val="26"/>
          <w:szCs w:val="26"/>
        </w:rPr>
        <w:t xml:space="preserve">Nhân sự vận hành: không cộng thêm vào chi phí — biên chế sẵn có.</w:t>
      </w:r>
    </w:p>
    <w:p>
      <w:pPr>
        <w:spacing w:after="120" w:line="276"/>
      </w:pPr>
      <w:r>
        <w:rPr>
          <w:rFonts w:ascii="Times New Roman" w:cs="Times New Roman" w:eastAsia="Times New Roman" w:hAnsi="Times New Roman"/>
          <w:sz w:val="26"/>
          <w:szCs w:val="26"/>
        </w:rPr>
        <w:t xml:space="preserve">Tổng hợp TCO/ngân sách đặt tại Mục 6.</w:t>
      </w:r>
    </w:p>
    <w:p>
      <w:pPr>
        <w:pStyle w:val="Heading1"/>
        <w:spacing w:after="160" w:before="280"/>
      </w:pPr>
      <w:r>
        <w:rPr>
          <w:rFonts w:ascii="Times New Roman" w:cs="Times New Roman" w:eastAsia="Times New Roman" w:hAnsi="Times New Roman"/>
          <w:b/>
          <w:bCs/>
          <w:sz w:val="28"/>
          <w:szCs w:val="28"/>
        </w:rPr>
        <w:t xml:space="preserve">4. Tài liệu chứng minh và kế hoạch triển khai</w:t>
      </w:r>
    </w:p>
    <w:p>
      <w:pPr>
        <w:pStyle w:val="Heading2"/>
        <w:spacing w:after="120" w:before="200"/>
      </w:pPr>
      <w:r>
        <w:rPr>
          <w:rFonts w:ascii="Times New Roman" w:cs="Times New Roman" w:eastAsia="Times New Roman" w:hAnsi="Times New Roman"/>
          <w:b/>
          <w:bCs/>
          <w:sz w:val="26"/>
          <w:szCs w:val="26"/>
        </w:rPr>
        <w:t xml:space="preserve">4.1. Bảng minh chứng</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800"/>
        <w:gridCol w:w="2800"/>
        <w:gridCol w:w="2200"/>
      </w:tblGrid>
      <w:tr>
        <w:trPr>
          <w:tblHeader/>
        </w:trPr>
        <w:tc>
          <w:tcPr>
            <w:tcW w:type="dxa" w:w="16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Mã</w:t>
            </w:r>
          </w:p>
        </w:tc>
        <w:tc>
          <w:tcPr>
            <w:tcW w:type="dxa" w:w="28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Tên</w:t>
            </w:r>
          </w:p>
        </w:tc>
        <w:tc>
          <w:tcPr>
            <w:tcW w:type="dxa" w:w="28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Loại/phiên bản</w:t>
            </w:r>
          </w:p>
        </w:tc>
        <w:tc>
          <w:tcPr>
            <w:tcW w:type="dxa" w:w="2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Tình trạng</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M01</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Mô tả dự án</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.docx</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Đã nhận</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M02</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Kiến trúc tổng thể</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.md</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Đã nhận</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M03</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Kiến trúc PCHealth AI Agent — 5 workflow n8n</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.md / .docx</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Đã nhận</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M04</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Dàn ý &amp; phản biện kiến trúc</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.md</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Đã nhận</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M05</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Triển khai 2000 máy — bản lộ trình</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.md</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Đã nhận</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M06</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Hướng dẫn triển khai theo giai đoạn</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.docx, bản 1.0</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Đã nhận</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M07</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Runbook triển khai thật 2000 máy</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.md</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Đã nhận</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M08</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Tóm tắt đề nghị phê duyệt</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.docx, hệ thống bản 1.11.2</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Đã nhận</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M09</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Bản trình bày đầy đủ 19 trang</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.pptx</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Được nhắc đến, chưa nhận — không đưa vào hồ sơ theo yêu cầu</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M10</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Hồ sơ chuyên môn người thực hiện</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Cần đính kèm, chưa nhận nội dung</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M11</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Bộ ca kiểm thử ai_agent/eval-cases.md</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Được nhắc đến, chưa nhận nội dung file</w:t>
            </w:r>
          </w:p>
        </w:tc>
      </w:tr>
    </w:tbl>
    <w:p>
      <w:pPr>
        <w:pStyle w:val="Heading2"/>
        <w:spacing w:after="120" w:before="200"/>
      </w:pPr>
      <w:r>
        <w:rPr>
          <w:rFonts w:ascii="Times New Roman" w:cs="Times New Roman" w:eastAsia="Times New Roman" w:hAnsi="Times New Roman"/>
          <w:b/>
          <w:bCs/>
          <w:sz w:val="26"/>
          <w:szCs w:val="26"/>
        </w:rPr>
        <w:t xml:space="preserve">4.2. Kế hoạch triển khai</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800"/>
        <w:gridCol w:w="2800"/>
        <w:gridCol w:w="2200"/>
      </w:tblGrid>
      <w:tr>
        <w:trPr>
          <w:tblHeader/>
        </w:trPr>
        <w:tc>
          <w:tcPr>
            <w:tcW w:type="dxa" w:w="16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Giai đoạn</w:t>
            </w:r>
          </w:p>
        </w:tc>
        <w:tc>
          <w:tcPr>
            <w:tcW w:type="dxa" w:w="28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Quy mô</w:t>
            </w:r>
          </w:p>
        </w:tc>
        <w:tc>
          <w:tcPr>
            <w:tcW w:type="dxa" w:w="28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Thời gian</w:t>
            </w:r>
          </w:p>
        </w:tc>
        <w:tc>
          <w:tcPr>
            <w:tcW w:type="dxa" w:w="2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Cổng dừng — điều kiện sang giai đoạn sau</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G1 (đang xin duyệt)</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50–200 máy</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6–8 tuần</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Dữ liệu về đủ từ 95% số máy trong 2 tuần liên tục, không sự cố nào do hệ thống gây ra</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G2</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200 → 1.000 máy</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4–6 tuần</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Đo được tỷ lệ đề xuất của trợ lý AI đúng bao nhiêu phần trăm so với đánh giá của IT</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G3</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Toàn bộ 2.000 máy</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4 tuần</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Hệ thống ổn định ở quy mô đầy đủ, đủ số liệu để chọn thao tác nào đáng tự động hoá</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G4</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Bật tự động hoá</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Liên tục</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Bật từng thao tác theo tỷ lệ 1% → 10% → 100%; vượt 2% lỗi thì dừng và báo cáo</w:t>
            </w:r>
          </w:p>
        </w:tc>
      </w:tr>
    </w:tbl>
    <w:p>
      <w:pPr>
        <w:spacing w:after="120" w:line="276"/>
      </w:pPr>
      <w:r>
        <w:rPr>
          <w:rFonts w:ascii="Times New Roman" w:cs="Times New Roman" w:eastAsia="Times New Roman" w:hAnsi="Times New Roman"/>
          <w:sz w:val="26"/>
          <w:szCs w:val="26"/>
        </w:rPr>
        <w:t xml:space="preserve">Người/đơn vị phụ trách từng mốc giữ theo vai trò chung (mục 3.2), không nêu tên cụ thể — theo xác nhận của người lập hồ sơ.</w:t>
      </w:r>
    </w:p>
    <w:p>
      <w:pPr>
        <w:pStyle w:val="Heading1"/>
        <w:spacing w:after="160" w:before="280"/>
      </w:pPr>
      <w:r>
        <w:rPr>
          <w:rFonts w:ascii="Times New Roman" w:cs="Times New Roman" w:eastAsia="Times New Roman" w:hAnsi="Times New Roman"/>
          <w:b/>
          <w:bCs/>
          <w:sz w:val="28"/>
          <w:szCs w:val="28"/>
        </w:rPr>
        <w:t xml:space="preserve">5. Giá trị và hiệu suất dự kiến khi triển khai diện rộng</w:t>
      </w:r>
    </w:p>
    <w:p>
      <w:pPr>
        <w:spacing w:after="120" w:line="276"/>
      </w:pPr>
      <w:r>
        <w:rPr>
          <w:rFonts w:ascii="Times New Roman" w:cs="Times New Roman" w:eastAsia="Times New Roman" w:hAnsi="Times New Roman"/>
          <w:sz w:val="26"/>
          <w:szCs w:val="26"/>
        </w:rPr>
        <w:t xml:space="preserve">Kết quả đo hiện có (11/9/2026) là số liệu đo tại môi trường thử nghiệm (28 máy ảo/thật), không phải số liệu trên 2.000 máy thật.</w:t>
      </w:r>
    </w:p>
    <w:p>
      <w:pPr>
        <w:spacing w:after="120" w:line="276"/>
      </w:pPr>
      <w:r>
        <w:rPr>
          <w:rFonts w:ascii="Times New Roman" w:cs="Times New Roman" w:eastAsia="Times New Roman" w:hAnsi="Times New Roman"/>
          <w:sz w:val="26"/>
          <w:szCs w:val="26"/>
        </w:rPr>
        <w:t xml:space="preserve">Bảng so sánh trước/sau trong tài liệu gốc là so sánh định tính, không kèm số liệu phần trăm cụ thể — vì hệ thống chưa triển khai thật nên chưa có số liệu đo được.</w:t>
      </w:r>
    </w:p>
    <w:p>
      <w:pPr>
        <w:spacing w:after="120" w:line="276"/>
      </w:pPr>
      <w:r>
        <w:rPr>
          <w:rFonts w:ascii="Times New Roman" w:cs="Times New Roman" w:eastAsia="Times New Roman" w:hAnsi="Times New Roman"/>
          <w:sz w:val="26"/>
          <w:szCs w:val="26"/>
        </w:rPr>
        <w:t xml:space="preserve">Tỷ lệ áp dụng thực tế khi mở rộng từ G2 sang G4: chưa xác định.</w:t>
      </w:r>
    </w:p>
    <w:p>
      <w:pPr>
        <w:pStyle w:val="Heading2"/>
        <w:spacing w:after="120" w:before="200"/>
      </w:pPr>
      <w:r>
        <w:rPr>
          <w:rFonts w:ascii="Times New Roman" w:cs="Times New Roman" w:eastAsia="Times New Roman" w:hAnsi="Times New Roman"/>
          <w:b/>
          <w:bCs/>
          <w:sz w:val="26"/>
          <w:szCs w:val="26"/>
        </w:rPr>
        <w:t xml:space="preserve">5.1. Lợi ích định tính</w:t>
      </w:r>
    </w:p>
    <w:p>
      <w:pPr>
        <w:pStyle w:val="ListParagraph"/>
        <w:numPr>
          <w:ilvl w:val="0"/>
          <w:numId w:val="1"/>
        </w:numPr>
        <w:spacing w:after="80" w:line="276"/>
      </w:pPr>
      <w:r>
        <w:rPr>
          <w:rFonts w:ascii="Times New Roman" w:cs="Times New Roman" w:eastAsia="Times New Roman" w:hAnsi="Times New Roman"/>
          <w:sz w:val="26"/>
          <w:szCs w:val="26"/>
        </w:rPr>
        <w:t xml:space="preserve">Phát hiện sớm sự cố trước khi ảnh hưởng rõ rệt tới người dùng.</w:t>
      </w:r>
    </w:p>
    <w:p>
      <w:pPr>
        <w:pStyle w:val="ListParagraph"/>
        <w:numPr>
          <w:ilvl w:val="0"/>
          <w:numId w:val="1"/>
        </w:numPr>
        <w:spacing w:after="80" w:line="276"/>
      </w:pPr>
      <w:r>
        <w:rPr>
          <w:rFonts w:ascii="Times New Roman" w:cs="Times New Roman" w:eastAsia="Times New Roman" w:hAnsi="Times New Roman"/>
          <w:sz w:val="26"/>
          <w:szCs w:val="26"/>
        </w:rPr>
        <w:t xml:space="preserve">Giảm thao tác lặp lại thủ công của IT đối với các sự cố cơ bản.</w:t>
      </w:r>
    </w:p>
    <w:p>
      <w:pPr>
        <w:pStyle w:val="ListParagraph"/>
        <w:numPr>
          <w:ilvl w:val="0"/>
          <w:numId w:val="1"/>
        </w:numPr>
        <w:spacing w:after="80" w:line="276"/>
      </w:pPr>
      <w:r>
        <w:rPr>
          <w:rFonts w:ascii="Times New Roman" w:cs="Times New Roman" w:eastAsia="Times New Roman" w:hAnsi="Times New Roman"/>
          <w:sz w:val="26"/>
          <w:szCs w:val="26"/>
        </w:rPr>
        <w:t xml:space="preserve">Có dữ liệu tổng thể theo thời gian thực, phân theo khu vực.</w:t>
      </w:r>
    </w:p>
    <w:p>
      <w:pPr>
        <w:pStyle w:val="ListParagraph"/>
        <w:numPr>
          <w:ilvl w:val="0"/>
          <w:numId w:val="1"/>
        </w:numPr>
        <w:spacing w:after="80" w:line="276"/>
      </w:pPr>
      <w:r>
        <w:rPr>
          <w:rFonts w:ascii="Times New Roman" w:cs="Times New Roman" w:eastAsia="Times New Roman" w:hAnsi="Times New Roman"/>
          <w:sz w:val="26"/>
          <w:szCs w:val="26"/>
        </w:rPr>
        <w:t xml:space="preserve">Giảm rủi ro mất dữ liệu không khôi phục được do hỏng ổ cứng (ghi nhận 35 ca/năm, chưa quy đổi được tiền).</w:t>
      </w:r>
    </w:p>
    <w:p>
      <w:pPr>
        <w:pStyle w:val="Heading2"/>
        <w:spacing w:after="120" w:before="200"/>
      </w:pPr>
      <w:r>
        <w:rPr>
          <w:rFonts w:ascii="Times New Roman" w:cs="Times New Roman" w:eastAsia="Times New Roman" w:hAnsi="Times New Roman"/>
          <w:b/>
          <w:bCs/>
          <w:sz w:val="26"/>
          <w:szCs w:val="26"/>
        </w:rPr>
        <w:t xml:space="preserve">5.2. Rủi ro và giới hạn</w:t>
      </w:r>
    </w:p>
    <w:p>
      <w:pPr>
        <w:pStyle w:val="ListParagraph"/>
        <w:numPr>
          <w:ilvl w:val="0"/>
          <w:numId w:val="1"/>
        </w:numPr>
        <w:spacing w:after="80" w:line="276"/>
      </w:pPr>
      <w:r>
        <w:rPr>
          <w:rFonts w:ascii="Times New Roman" w:cs="Times New Roman" w:eastAsia="Times New Roman" w:hAnsi="Times New Roman"/>
          <w:sz w:val="26"/>
          <w:szCs w:val="26"/>
        </w:rPr>
        <w:t xml:space="preserve">Gói tự cập nhật client hiện chỉ kiểm tra bằng checksum SHA-256, chưa có chữ ký số — cần bổ sung trước khi bật tự động hoá diện rộng.</w:t>
      </w:r>
    </w:p>
    <w:p>
      <w:pPr>
        <w:pStyle w:val="ListParagraph"/>
        <w:numPr>
          <w:ilvl w:val="0"/>
          <w:numId w:val="1"/>
        </w:numPr>
        <w:spacing w:after="80" w:line="276"/>
      </w:pPr>
      <w:r>
        <w:rPr>
          <w:rFonts w:ascii="Times New Roman" w:cs="Times New Roman" w:eastAsia="Times New Roman" w:hAnsi="Times New Roman"/>
          <w:sz w:val="26"/>
          <w:szCs w:val="26"/>
        </w:rPr>
        <w:t xml:space="preserve">Ba điều kiện kỹ thuật cho quy mô 2.000 máy: bật đúng tham số nhận diện IP máy trạm khi dựng máy chủ thật (qua reverse proxy); chuyển sổ đăng ký máy sang ghi theo lô; chuyển trạng thái cảnh báo sang bộ nhớ dùng chung khi chạy nhiều bản sao máy chủ.</w:t>
      </w:r>
    </w:p>
    <w:p>
      <w:pPr>
        <w:pStyle w:val="Heading1"/>
        <w:spacing w:after="160" w:before="280"/>
      </w:pPr>
      <w:r>
        <w:rPr>
          <w:rFonts w:ascii="Times New Roman" w:cs="Times New Roman" w:eastAsia="Times New Roman" w:hAnsi="Times New Roman"/>
          <w:b/>
          <w:bCs/>
          <w:sz w:val="28"/>
          <w:szCs w:val="28"/>
        </w:rPr>
        <w:t xml:space="preserve">6. TCO, ROI, ngân sách và giá trị tài chính</w:t>
      </w:r>
    </w:p>
    <w:p>
      <w:pPr>
        <w:spacing w:after="120" w:line="276"/>
      </w:pPr>
      <w:r>
        <w:rPr>
          <w:rFonts w:ascii="Times New Roman" w:cs="Times New Roman" w:eastAsia="Times New Roman" w:hAnsi="Times New Roman"/>
          <w:b w:val="false"/>
          <w:bCs w:val="false"/>
          <w:sz w:val="26"/>
          <w:szCs w:val="26"/>
        </w:rPr>
        <w:t xml:space="preserve">Phiên bản 1 — đã được người lập hồ sơ xác nhận. Kỳ đánh giá: 1 năm. Đồng tiền: VNĐ. Phương pháp: tính đơn giản, không chiết khấu.</w:t>
      </w:r>
    </w:p>
    <w:p>
      <w:pPr>
        <w:pStyle w:val="Heading2"/>
        <w:spacing w:after="120" w:before="200"/>
      </w:pPr>
      <w:r>
        <w:rPr>
          <w:rFonts w:ascii="Times New Roman" w:cs="Times New Roman" w:eastAsia="Times New Roman" w:hAnsi="Times New Roman"/>
          <w:b/>
          <w:bCs/>
          <w:sz w:val="26"/>
          <w:szCs w:val="26"/>
        </w:rPr>
        <w:t xml:space="preserve">6.1. Bảng đầu vào</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800"/>
        <w:gridCol w:w="2800"/>
        <w:gridCol w:w="2200"/>
      </w:tblGrid>
      <w:tr>
        <w:trPr>
          <w:tblHeader/>
        </w:trPr>
        <w:tc>
          <w:tcPr>
            <w:tcW w:type="dxa" w:w="16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Mã</w:t>
            </w:r>
          </w:p>
        </w:tc>
        <w:tc>
          <w:tcPr>
            <w:tcW w:type="dxa" w:w="28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Hạng mục</w:t>
            </w:r>
          </w:p>
        </w:tc>
        <w:tc>
          <w:tcPr>
            <w:tcW w:type="dxa" w:w="28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Giá trị</w:t>
            </w:r>
          </w:p>
        </w:tc>
        <w:tc>
          <w:tcPr>
            <w:tcW w:type="dxa" w:w="2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Trạng thái</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F1</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Ticket sự cố PC</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120/tháng</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Thực tế ước lượng</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F2</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Tỷ lệ thuộc nhóm tự xử lý</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10%</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Thực tế ước lượng</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F3</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Thời gian xử lý trước (thủ công)</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15 phút/ticket</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Thực tế ước lượng</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F4</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Thời gian xử lý sau (tự động hoá)</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có</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F5</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Đơn giá giờ công IT</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có</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F6</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Ca hỏng ổ cứng không báo trước</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35/năm</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Thực tế ước lượng</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F7</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Chi phí/ca hỏng ổ</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Không đo được (đã xác nhận)</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F8</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Chi phí gọi NetMind/NetAgent</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0 đồng</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Thực tế — miễn phí nội bộ VTNet</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F9</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Chi phí nhân sự vận hành</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Không cộng vào TCO</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Xác nhận — biên chế sẵn có</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F10</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Đầu tư hạ tầng VM</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có đơn giá</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Thiếu</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F11</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Ngân sách đề xuất Giai đoạn 1</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xác định</w:t>
            </w:r>
          </w:p>
        </w:tc>
      </w:tr>
    </w:tbl>
    <w:p>
      <w:pPr>
        <w:pStyle w:val="Heading2"/>
        <w:spacing w:after="120" w:before="200"/>
      </w:pPr>
      <w:r>
        <w:rPr>
          <w:rFonts w:ascii="Times New Roman" w:cs="Times New Roman" w:eastAsia="Times New Roman" w:hAnsi="Times New Roman"/>
          <w:b/>
          <w:bCs/>
          <w:sz w:val="26"/>
          <w:szCs w:val="26"/>
        </w:rPr>
        <w:t xml:space="preserve">6.2. Bảng TCO</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00"/>
        <w:gridCol w:w="3400"/>
      </w:tblGrid>
      <w:tr>
        <w:trPr>
          <w:tblHeader/>
        </w:trPr>
        <w:tc>
          <w:tcPr>
            <w:tcW w:type="dxa" w:w="25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Khoản</w:t>
            </w:r>
          </w:p>
        </w:tc>
        <w:tc>
          <w:tcPr>
            <w:tcW w:type="dxa" w:w="35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Giá trị</w:t>
            </w:r>
          </w:p>
        </w:tc>
        <w:tc>
          <w:tcPr>
            <w:tcW w:type="dxa" w:w="34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Ghi chú</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Đầu tư ban đầu (hạ tầng)</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tính được</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Thiếu đơn giá F10</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Vận hành định kỳ — AI</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0 đồng</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F8</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Vận hành định kỳ — nhân sự</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0 đồng (không cộng thêm)</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F9</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Vận hành định kỳ — hạ tầng khác</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tính được</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có dữ liệu</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TCO trong kỳ</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xác định đầy đủ</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Phần đã biết = 0 đồng (AI + nhân sự); phần thiếu là chi phí hạ tầng</w:t>
            </w:r>
          </w:p>
        </w:tc>
      </w:tr>
    </w:tbl>
    <w:p>
      <w:pPr>
        <w:pStyle w:val="Heading2"/>
        <w:spacing w:after="120" w:before="200"/>
      </w:pPr>
      <w:r>
        <w:rPr>
          <w:rFonts w:ascii="Times New Roman" w:cs="Times New Roman" w:eastAsia="Times New Roman" w:hAnsi="Times New Roman"/>
          <w:b/>
          <w:bCs/>
          <w:sz w:val="26"/>
          <w:szCs w:val="26"/>
        </w:rPr>
        <w:t xml:space="preserve">6.3. Bảng lợi ích</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00"/>
        <w:gridCol w:w="3400"/>
      </w:tblGrid>
      <w:tr>
        <w:trPr>
          <w:tblHeader/>
        </w:trPr>
        <w:tc>
          <w:tcPr>
            <w:tcW w:type="dxa" w:w="25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Khoản</w:t>
            </w:r>
          </w:p>
        </w:tc>
        <w:tc>
          <w:tcPr>
            <w:tcW w:type="dxa" w:w="35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Giá trị</w:t>
            </w:r>
          </w:p>
        </w:tc>
        <w:tc>
          <w:tcPr>
            <w:tcW w:type="dxa" w:w="34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Ghi chú</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Giờ giải phóng</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tính được</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Thiếu F4 (thời gian sau)</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Giá trị năng lực quy đổi (tiền)</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tính được</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Thiếu F4 và F5</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Tránh mất dữ liệu do hỏng ổ</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35 ca/năm, không quy đổi tiền</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Thiếu F7</w:t>
            </w:r>
          </w:p>
        </w:tc>
      </w:tr>
      <w:tr>
        <w:tc>
          <w:tcPr>
            <w:tcW w:type="dxa" w:w="2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Lợi ích định tính</w:t>
            </w:r>
          </w:p>
        </w:tc>
        <w:tc>
          <w:tcPr>
            <w:tcW w:type="dxa" w:w="35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Phát hiện sớm; dữ liệu tổng thể theo khu vực; giảm gián đoạn; dữ liệu lịch sử lập kế hoạch thay thiết bị</w:t>
            </w:r>
          </w:p>
        </w:tc>
        <w:tc>
          <w:tcPr>
            <w:tcW w:type="dxa" w:w="34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Không quy tiền</w:t>
            </w:r>
          </w:p>
        </w:tc>
      </w:tr>
    </w:tbl>
    <w:p>
      <w:pPr>
        <w:pStyle w:val="Heading2"/>
        <w:spacing w:after="120" w:before="200"/>
      </w:pPr>
      <w:r>
        <w:rPr>
          <w:rFonts w:ascii="Times New Roman" w:cs="Times New Roman" w:eastAsia="Times New Roman" w:hAnsi="Times New Roman"/>
          <w:b/>
          <w:bCs/>
          <w:sz w:val="26"/>
          <w:szCs w:val="26"/>
        </w:rPr>
        <w:t xml:space="preserve">6.4. Kết quả</w:t>
      </w:r>
    </w:p>
    <w:p>
      <w:pPr>
        <w:pStyle w:val="ListParagraph"/>
        <w:numPr>
          <w:ilvl w:val="0"/>
          <w:numId w:val="1"/>
        </w:numPr>
        <w:spacing w:after="80" w:line="276"/>
      </w:pPr>
      <w:r>
        <w:rPr>
          <w:rFonts w:ascii="Times New Roman" w:cs="Times New Roman" w:eastAsia="Times New Roman" w:hAnsi="Times New Roman"/>
          <w:sz w:val="26"/>
          <w:szCs w:val="26"/>
        </w:rPr>
        <w:t xml:space="preserve">TCO: chưa xác định đầy đủ (thiếu đơn giá hạ tầng).</w:t>
      </w:r>
    </w:p>
    <w:p>
      <w:pPr>
        <w:pStyle w:val="ListParagraph"/>
        <w:numPr>
          <w:ilvl w:val="0"/>
          <w:numId w:val="1"/>
        </w:numPr>
        <w:spacing w:after="80" w:line="276"/>
      </w:pPr>
      <w:r>
        <w:rPr>
          <w:rFonts w:ascii="Times New Roman" w:cs="Times New Roman" w:eastAsia="Times New Roman" w:hAnsi="Times New Roman"/>
          <w:sz w:val="26"/>
          <w:szCs w:val="26"/>
        </w:rPr>
        <w:t xml:space="preserve">ROI: không tính được (thiếu cả TCO đầy đủ và lợi ích quy đổi tiền).</w:t>
      </w:r>
    </w:p>
    <w:p>
      <w:pPr>
        <w:pStyle w:val="ListParagraph"/>
        <w:numPr>
          <w:ilvl w:val="0"/>
          <w:numId w:val="1"/>
        </w:numPr>
        <w:spacing w:after="80" w:line="276"/>
      </w:pPr>
      <w:r>
        <w:rPr>
          <w:rFonts w:ascii="Times New Roman" w:cs="Times New Roman" w:eastAsia="Times New Roman" w:hAnsi="Times New Roman"/>
          <w:sz w:val="26"/>
          <w:szCs w:val="26"/>
        </w:rPr>
        <w:t xml:space="preserve">Hoàn vốn: không tính được.</w:t>
      </w:r>
    </w:p>
    <w:p>
      <w:pPr>
        <w:pStyle w:val="ListParagraph"/>
        <w:numPr>
          <w:ilvl w:val="0"/>
          <w:numId w:val="1"/>
        </w:numPr>
        <w:spacing w:after="80" w:line="276"/>
      </w:pPr>
      <w:r>
        <w:rPr>
          <w:rFonts w:ascii="Times New Roman" w:cs="Times New Roman" w:eastAsia="Times New Roman" w:hAnsi="Times New Roman"/>
          <w:sz w:val="26"/>
          <w:szCs w:val="26"/>
        </w:rPr>
        <w:t xml:space="preserve">Ngân sách: chưa xác định, chờ lãnh đạo ấn định.</w:t>
      </w:r>
    </w:p>
    <w:p>
      <w:pPr>
        <w:pStyle w:val="Heading2"/>
        <w:spacing w:after="120" w:before="200"/>
      </w:pPr>
      <w:r>
        <w:rPr>
          <w:rFonts w:ascii="Times New Roman" w:cs="Times New Roman" w:eastAsia="Times New Roman" w:hAnsi="Times New Roman"/>
          <w:b/>
          <w:bCs/>
          <w:sz w:val="26"/>
          <w:szCs w:val="26"/>
        </w:rPr>
        <w:t xml:space="preserve">6.5. Hạn chế và dữ liệu thiếu</w:t>
      </w:r>
    </w:p>
    <w:p>
      <w:pPr>
        <w:spacing w:after="120" w:line="276"/>
      </w:pPr>
      <w:r>
        <w:rPr>
          <w:rFonts w:ascii="Times New Roman" w:cs="Times New Roman" w:eastAsia="Times New Roman" w:hAnsi="Times New Roman"/>
          <w:sz w:val="26"/>
          <w:szCs w:val="26"/>
        </w:rPr>
        <w:t xml:space="preserve">Thiếu: đơn giá giờ công IT (F5), thời gian xử lý sau tự động hoá (F4), chi phí/ca hỏng ổ (F7), đơn giá hạ tầng VM (F10), ngân sách đề xuất (F11). Không có các khoản này, TCO/ROI/hoàn vốn không thể tính bằng số cụ thể — đây là dữ liệu chưa đủ, không phải bằng 0.</w:t>
      </w:r>
    </w:p>
    <w:p>
      <w:pPr>
        <w:pStyle w:val="Heading1"/>
        <w:spacing w:after="160" w:before="280"/>
      </w:pPr>
      <w:r>
        <w:rPr>
          <w:rFonts w:ascii="Times New Roman" w:cs="Times New Roman" w:eastAsia="Times New Roman" w:hAnsi="Times New Roman"/>
          <w:b/>
          <w:bCs/>
          <w:sz w:val="28"/>
          <w:szCs w:val="28"/>
        </w:rPr>
        <w:t xml:space="preserve">7. Audit tự động hồ sơ</w:t>
      </w:r>
    </w:p>
    <w:p>
      <w:pPr>
        <w:spacing w:after="120" w:line="276"/>
      </w:pPr>
      <w:r>
        <w:rPr>
          <w:rFonts w:ascii="Times New Roman" w:cs="Times New Roman" w:eastAsia="Times New Roman" w:hAnsi="Times New Roman"/>
          <w:i/>
          <w:iCs/>
          <w:sz w:val="26"/>
          <w:szCs w:val="26"/>
        </w:rPr>
        <w:t xml:space="preserve">Đây là kiểm tra của trợ lý lập hồ sơ theo yêu cầu người dùng và hướng dẫn được cung cấp, không phải quyết định của Hội đồng đánh giá.</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800"/>
        <w:gridCol w:w="2800"/>
        <w:gridCol w:w="2200"/>
      </w:tblGrid>
      <w:tr>
        <w:trPr>
          <w:tblHeader/>
        </w:trPr>
        <w:tc>
          <w:tcPr>
            <w:tcW w:type="dxa" w:w="16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Mã</w:t>
            </w:r>
          </w:p>
        </w:tc>
        <w:tc>
          <w:tcPr>
            <w:tcW w:type="dxa" w:w="28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Tiêu chí</w:t>
            </w:r>
          </w:p>
        </w:tc>
        <w:tc>
          <w:tcPr>
            <w:tcW w:type="dxa" w:w="28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Kết quả</w:t>
            </w:r>
          </w:p>
        </w:tc>
        <w:tc>
          <w:tcPr>
            <w:tcW w:type="dxa" w:w="2200"/>
            <w:shd w:fill="D9D9D9"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0"/>
                <w:szCs w:val="20"/>
              </w:rPr>
              <w:t xml:space="preserve">Thiếu / sai lệch</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A01</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Đủ mục 1–6 và audit, bám bố cục đề xuất</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ĐẠT</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đối chiếu mẫu chính thức của Hội đồng (chưa được cung cấp)</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A02</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Rõ bài toán, đơn vị, người dùng, phạm vi, baseline, KPI</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ĐẠT</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A03</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Rõ tên/phiên bản mô hình AI và vai trò</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CẦN BỔ SUNG (lỗi chặn)</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Có định danh (NetMind, NetAgent, VTNet) nhưng thiếu phiên bản và hình thức tích hợp</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A04</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Cách phát triển, đầu vào/đầu ra, quyền sử dụng</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CẦN BỔ SUNG</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Quyền sử dụng dữ liệu chưa có căn cứ văn bản cụ thể</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A05</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Kiểm thử phù hợp giai đoạn</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CẦN BỔ SUNG (nhẹ)</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Nội dung/thang đo chi tiết của 18 ca kiểm thử chưa mô tả đầy đủ</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A06</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Giám sát, nhật ký, cảnh báo, hạ tầng, chi phí, vận hành</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CẦN BỔ SUNG (nhẹ)</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Thời hạn lưu dài hạn của đầu ra AI trên server nội bộ chưa rõ</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A07</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Minh chứng có thật, dẫn chiếu đúng</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ĐẠT</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A08</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Hiệu quả mở rộng có căn cứ, phân biệt đo được với dự báo</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ĐẠT</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A09</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Tài chính đúng phương pháp, không ghi 0 khi thiếu dữ liệu</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ĐẠT</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A10</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Đã xác nhận đúng phiên bản Mục 6 được tích hợp</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ĐẠT</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Xác nhận phiên bản 1</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A11</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Nhất quán liên mục, không còn mâu thuẫn chưa xử lý</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CẦN BỔ SUNG</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Mâu thuẫn số liệu tải API (6,7 và 4,5 request/giây) chưa được xác nhận dùng số nào</w:t>
            </w:r>
          </w:p>
        </w:tc>
      </w:tr>
      <w:tr>
        <w:tc>
          <w:tcPr>
            <w:tcW w:type="dxa" w:w="16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A12</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Điều kiện chính thức (đối chiếu hướng dẫn cơ quan thường trực)</w:t>
            </w:r>
          </w:p>
        </w:tc>
        <w:tc>
          <w:tcPr>
            <w:tcW w:type="dxa" w:w="28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KHÔNG ÁP DỤNG ĐÃ XÁC NHẬN</w:t>
            </w:r>
          </w:p>
        </w:tc>
        <w:tc>
          <w:tcPr>
            <w:tcW w:type="dxa" w:w="2200"/>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0"/>
                <w:szCs w:val="20"/>
              </w:rPr>
              <w:t xml:space="preserve">Chưa có mẫu/hướng dẫn chính thức được cung cấp — chưa thể kết luận tuân thủ</w:t>
            </w:r>
          </w:p>
        </w:tc>
      </w:tr>
    </w:tbl>
    <w:p>
      <w:pPr>
        <w:pStyle w:val="Heading2"/>
        <w:spacing w:after="120" w:before="200"/>
      </w:pPr>
      <w:r>
        <w:rPr>
          <w:rFonts w:ascii="Times New Roman" w:cs="Times New Roman" w:eastAsia="Times New Roman" w:hAnsi="Times New Roman"/>
          <w:b/>
          <w:bCs/>
          <w:sz w:val="26"/>
          <w:szCs w:val="26"/>
        </w:rPr>
        <w:t xml:space="preserve">Kết luận</w:t>
      </w:r>
    </w:p>
    <w:p>
      <w:pPr>
        <w:spacing w:after="120" w:line="276"/>
      </w:pPr>
      <w:r>
        <w:rPr>
          <w:rFonts w:ascii="Times New Roman" w:cs="Times New Roman" w:eastAsia="Times New Roman" w:hAnsi="Times New Roman"/>
          <w:b/>
          <w:bCs/>
          <w:color w:val="C00000"/>
          <w:sz w:val="26"/>
          <w:szCs w:val="26"/>
        </w:rPr>
        <w:t xml:space="preserve">CHƯA HOÀN THIỆN — CẦN BỔ SUNG.</w:t>
      </w:r>
    </w:p>
    <w:p>
      <w:pPr>
        <w:spacing w:after="120" w:line="276"/>
      </w:pPr>
      <w:r>
        <w:rPr>
          <w:rFonts w:ascii="Times New Roman" w:cs="Times New Roman" w:eastAsia="Times New Roman" w:hAnsi="Times New Roman"/>
          <w:sz w:val="26"/>
          <w:szCs w:val="26"/>
        </w:rPr>
        <w:t xml:space="preserve">Lý do chặn: tiêu chí A03 (thiếu phiên bản và hình thức tích hợp của mô hình AI NetMind/NetAgent). Đây là yêu cầu bắt buộc của quy trình lập hồ sơ và không thể bỏ qua bằng xác nhận chung. Ngoài ra còn các điểm cần bổ sung không chặn: A04, A05, A06 (nhẹ), A11.</w:t>
      </w:r>
    </w:p>
    <w:p>
      <w:pPr>
        <w:spacing w:after="120" w:line="276"/>
      </w:pPr>
      <w:r>
        <w:rPr>
          <w:rFonts w:ascii="Times New Roman" w:cs="Times New Roman" w:eastAsia="Times New Roman" w:hAnsi="Times New Roman"/>
          <w:sz w:val="26"/>
          <w:szCs w:val="26"/>
        </w:rPr>
        <w:t xml:space="preserve">Hồ sơ này được xuất bản ở dạng DỰ THẢO theo yêu cầu của người lập hồ sơ, nhằm mục đích xem trước nội dung — không phải bản đủ điều kiện trình Hội đồng đánh giá.</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color w:val="C00000"/>
        <w:sz w:val="18"/>
        <w:szCs w:val="18"/>
      </w:rPr>
      <w:t xml:space="preserve">DỰ THẢO — CHƯA ĐỦ ĐIỀU KIỆN TRÌNH CHÍNH THỨC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2026-09-14T11:19:34.742Z</dcterms:created>
  <dcterms:modified xsi:type="dcterms:W3CDTF">2026-09-14T11:19:34.756Z</dcterms:modified>
</cp:coreProperties>
</file>

<file path=docProps/custom.xml><?xml version="1.0" encoding="utf-8"?>
<Properties xmlns="http://schemas.openxmlformats.org/officeDocument/2006/custom-properties" xmlns:vt="http://schemas.openxmlformats.org/officeDocument/2006/docPropsVTypes"/>
</file>