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trends.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Tracked follow-ups (PARITY-10, minor):</w:t>
      </w:r>
      <w:r>
        <w:rPr>
          <w:b w:val="0"/>
          <w:i w:val="0"/>
          <w:color w:val="1F2937"/>
          <w:sz w:val="21"/>
        </w:rPr>
        <w:t xml:space="preserve"> unified notification matrix, analytics PDF + trend tiles, per-run manual retry.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