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1E7E2" w14:textId="3ED18D24" w:rsidR="00B044E5" w:rsidRPr="001D67DC" w:rsidRDefault="001D67DC" w:rsidP="001D67DC">
      <w:pPr>
        <w:jc w:val="center"/>
        <w:rPr>
          <w:rFonts w:ascii="Times New Roman" w:hAnsi="Times New Roman" w:cs="Times New Roman"/>
          <w:b/>
          <w:bCs/>
          <w:sz w:val="24"/>
          <w:szCs w:val="24"/>
        </w:rPr>
      </w:pPr>
      <w:r w:rsidRPr="001D67DC">
        <w:rPr>
          <w:rFonts w:ascii="Times New Roman" w:hAnsi="Times New Roman" w:cs="Times New Roman"/>
          <w:b/>
          <w:bCs/>
          <w:sz w:val="24"/>
          <w:szCs w:val="24"/>
        </w:rPr>
        <w:t>Methodology</w:t>
      </w:r>
    </w:p>
    <w:p w14:paraId="0AD211DE" w14:textId="11E2A80F" w:rsidR="001D67DC" w:rsidRPr="001D67DC" w:rsidRDefault="001D67DC" w:rsidP="001D67DC">
      <w:pPr>
        <w:pStyle w:val="ListParagraph"/>
        <w:numPr>
          <w:ilvl w:val="0"/>
          <w:numId w:val="1"/>
        </w:numPr>
        <w:rPr>
          <w:rFonts w:ascii="Times New Roman" w:hAnsi="Times New Roman" w:cs="Times New Roman"/>
          <w:b/>
          <w:bCs/>
          <w:sz w:val="24"/>
          <w:szCs w:val="24"/>
        </w:rPr>
      </w:pPr>
      <w:r w:rsidRPr="001D67DC">
        <w:rPr>
          <w:rFonts w:ascii="Times New Roman" w:hAnsi="Times New Roman" w:cs="Times New Roman"/>
          <w:b/>
          <w:bCs/>
          <w:sz w:val="24"/>
          <w:szCs w:val="24"/>
        </w:rPr>
        <w:t>Handling missing values</w:t>
      </w:r>
    </w:p>
    <w:p w14:paraId="380439A8" w14:textId="77777777" w:rsidR="001D67DC" w:rsidRPr="001D67DC" w:rsidRDefault="001D67DC" w:rsidP="001D67DC">
      <w:pPr>
        <w:pStyle w:val="ListParagraph"/>
        <w:numPr>
          <w:ilvl w:val="0"/>
          <w:numId w:val="5"/>
        </w:numPr>
        <w:rPr>
          <w:rFonts w:ascii="Times New Roman" w:hAnsi="Times New Roman" w:cs="Times New Roman"/>
          <w:sz w:val="24"/>
          <w:szCs w:val="24"/>
        </w:rPr>
      </w:pPr>
      <w:r w:rsidRPr="001D67DC">
        <w:rPr>
          <w:rFonts w:ascii="Times New Roman" w:hAnsi="Times New Roman" w:cs="Times New Roman"/>
          <w:sz w:val="24"/>
          <w:szCs w:val="24"/>
        </w:rPr>
        <w:t>The dataset contained entries labelled "MISSING" where diversity indicators were not publicly available.</w:t>
      </w:r>
    </w:p>
    <w:p w14:paraId="3ABBA90B" w14:textId="40C03890" w:rsidR="001D67DC" w:rsidRPr="00E05DF6" w:rsidRDefault="001D67DC" w:rsidP="00E05DF6">
      <w:pPr>
        <w:pStyle w:val="ListParagraph"/>
        <w:numPr>
          <w:ilvl w:val="0"/>
          <w:numId w:val="5"/>
        </w:numPr>
        <w:rPr>
          <w:rFonts w:ascii="Times New Roman" w:hAnsi="Times New Roman" w:cs="Times New Roman"/>
          <w:sz w:val="24"/>
          <w:szCs w:val="24"/>
        </w:rPr>
      </w:pPr>
      <w:r w:rsidRPr="001D67DC">
        <w:rPr>
          <w:rFonts w:ascii="Times New Roman" w:hAnsi="Times New Roman" w:cs="Times New Roman"/>
          <w:sz w:val="24"/>
          <w:szCs w:val="24"/>
        </w:rPr>
        <w:t xml:space="preserve">These were converted to </w:t>
      </w:r>
      <w:proofErr w:type="spellStart"/>
      <w:r w:rsidRPr="001D67DC">
        <w:rPr>
          <w:rFonts w:ascii="Times New Roman" w:hAnsi="Times New Roman" w:cs="Times New Roman"/>
          <w:sz w:val="24"/>
          <w:szCs w:val="24"/>
        </w:rPr>
        <w:t>NaN</w:t>
      </w:r>
      <w:proofErr w:type="spellEnd"/>
      <w:r w:rsidRPr="001D67DC">
        <w:rPr>
          <w:rFonts w:ascii="Times New Roman" w:hAnsi="Times New Roman" w:cs="Times New Roman"/>
          <w:sz w:val="24"/>
          <w:szCs w:val="24"/>
        </w:rPr>
        <w:t xml:space="preserve"> and treated as zero contribution to the diversity score</w:t>
      </w:r>
      <w:r w:rsidR="00A70816">
        <w:rPr>
          <w:rFonts w:ascii="Times New Roman" w:hAnsi="Times New Roman" w:cs="Times New Roman"/>
          <w:sz w:val="24"/>
          <w:szCs w:val="24"/>
        </w:rPr>
        <w:t xml:space="preserve"> </w:t>
      </w:r>
      <w:r w:rsidR="00E05DF6">
        <w:rPr>
          <w:rFonts w:ascii="Times New Roman" w:hAnsi="Times New Roman" w:cs="Times New Roman"/>
          <w:sz w:val="24"/>
          <w:szCs w:val="24"/>
        </w:rPr>
        <w:t>-</w:t>
      </w:r>
      <w:r w:rsidR="00A70816">
        <w:rPr>
          <w:rFonts w:ascii="Times New Roman" w:hAnsi="Times New Roman" w:cs="Times New Roman"/>
          <w:sz w:val="24"/>
          <w:szCs w:val="24"/>
        </w:rPr>
        <w:t xml:space="preserve"> </w:t>
      </w:r>
      <w:proofErr w:type="gramStart"/>
      <w:r w:rsidR="00A70816">
        <w:rPr>
          <w:rFonts w:ascii="Times New Roman" w:hAnsi="Times New Roman" w:cs="Times New Roman"/>
          <w:sz w:val="24"/>
          <w:szCs w:val="24"/>
        </w:rPr>
        <w:t>N</w:t>
      </w:r>
      <w:r w:rsidRPr="00E05DF6">
        <w:rPr>
          <w:rFonts w:ascii="Times New Roman" w:hAnsi="Times New Roman" w:cs="Times New Roman"/>
          <w:sz w:val="24"/>
          <w:szCs w:val="24"/>
        </w:rPr>
        <w:t>on-disclosure</w:t>
      </w:r>
      <w:proofErr w:type="gramEnd"/>
      <w:r w:rsidRPr="00E05DF6">
        <w:rPr>
          <w:rFonts w:ascii="Times New Roman" w:hAnsi="Times New Roman" w:cs="Times New Roman"/>
          <w:sz w:val="24"/>
          <w:szCs w:val="24"/>
        </w:rPr>
        <w:t xml:space="preserve"> represents weaker transparency around diversity reporting.</w:t>
      </w:r>
    </w:p>
    <w:p w14:paraId="4AF27261" w14:textId="77777777" w:rsidR="001D67DC" w:rsidRPr="001D67DC" w:rsidRDefault="001D67DC" w:rsidP="001D67DC">
      <w:pPr>
        <w:pStyle w:val="ListParagraph"/>
        <w:rPr>
          <w:rFonts w:ascii="Times New Roman" w:hAnsi="Times New Roman" w:cs="Times New Roman"/>
          <w:sz w:val="24"/>
          <w:szCs w:val="24"/>
        </w:rPr>
      </w:pPr>
    </w:p>
    <w:p w14:paraId="4C50CCC8" w14:textId="178CE270" w:rsidR="001D67DC" w:rsidRPr="001D67DC" w:rsidRDefault="001D67DC" w:rsidP="001D67DC">
      <w:pPr>
        <w:pStyle w:val="ListParagraph"/>
        <w:numPr>
          <w:ilvl w:val="0"/>
          <w:numId w:val="1"/>
        </w:numPr>
        <w:rPr>
          <w:rFonts w:ascii="Times New Roman" w:hAnsi="Times New Roman" w:cs="Times New Roman"/>
          <w:b/>
          <w:bCs/>
          <w:sz w:val="24"/>
          <w:szCs w:val="24"/>
        </w:rPr>
      </w:pPr>
      <w:r w:rsidRPr="001D67DC">
        <w:rPr>
          <w:rFonts w:ascii="Times New Roman" w:hAnsi="Times New Roman" w:cs="Times New Roman"/>
          <w:b/>
          <w:bCs/>
          <w:sz w:val="24"/>
          <w:szCs w:val="24"/>
        </w:rPr>
        <w:t>Indicator normalisation</w:t>
      </w:r>
    </w:p>
    <w:p w14:paraId="52CD00ED" w14:textId="77777777" w:rsidR="001D67DC" w:rsidRPr="001D67DC" w:rsidRDefault="001D67DC" w:rsidP="001D67DC">
      <w:pPr>
        <w:pStyle w:val="ListParagraph"/>
        <w:numPr>
          <w:ilvl w:val="0"/>
          <w:numId w:val="4"/>
        </w:numPr>
        <w:rPr>
          <w:rFonts w:ascii="Times New Roman" w:hAnsi="Times New Roman" w:cs="Times New Roman"/>
          <w:sz w:val="24"/>
          <w:szCs w:val="24"/>
        </w:rPr>
      </w:pPr>
      <w:r w:rsidRPr="001D67DC">
        <w:rPr>
          <w:rFonts w:ascii="Times New Roman" w:hAnsi="Times New Roman" w:cs="Times New Roman"/>
          <w:sz w:val="24"/>
          <w:szCs w:val="24"/>
        </w:rPr>
        <w:t>Indicators were measured in different units (percentages, weeks of parental leave, and binary indicators).</w:t>
      </w:r>
    </w:p>
    <w:p w14:paraId="555DF343" w14:textId="77777777" w:rsidR="001D67DC" w:rsidRPr="001D67DC" w:rsidRDefault="001D67DC" w:rsidP="001D67DC">
      <w:pPr>
        <w:pStyle w:val="ListParagraph"/>
        <w:numPr>
          <w:ilvl w:val="0"/>
          <w:numId w:val="4"/>
        </w:numPr>
        <w:rPr>
          <w:rFonts w:ascii="Times New Roman" w:hAnsi="Times New Roman" w:cs="Times New Roman"/>
          <w:sz w:val="24"/>
          <w:szCs w:val="24"/>
        </w:rPr>
      </w:pPr>
      <w:r w:rsidRPr="001D67DC">
        <w:rPr>
          <w:rFonts w:ascii="Times New Roman" w:hAnsi="Times New Roman" w:cs="Times New Roman"/>
          <w:sz w:val="24"/>
          <w:szCs w:val="24"/>
        </w:rPr>
        <w:t xml:space="preserve">To make them comparable, Min–Max normalization was applied to scale all indicators </w:t>
      </w:r>
      <w:r w:rsidRPr="001D67DC">
        <w:rPr>
          <w:rFonts w:ascii="Times New Roman" w:hAnsi="Times New Roman" w:cs="Times New Roman"/>
          <w:sz w:val="24"/>
          <w:szCs w:val="24"/>
        </w:rPr>
        <w:t xml:space="preserve">from their original range, to a standard range, </w:t>
      </w:r>
      <w:r w:rsidRPr="001D67DC">
        <w:rPr>
          <w:rFonts w:ascii="Times New Roman" w:hAnsi="Times New Roman" w:cs="Times New Roman"/>
          <w:sz w:val="24"/>
          <w:szCs w:val="24"/>
        </w:rPr>
        <w:t>between 0 and 1.</w:t>
      </w:r>
      <w:r w:rsidRPr="001D67DC">
        <w:rPr>
          <w:rFonts w:ascii="Times New Roman" w:hAnsi="Times New Roman" w:cs="Times New Roman"/>
          <w:sz w:val="24"/>
          <w:szCs w:val="24"/>
        </w:rPr>
        <w:t xml:space="preserve"> </w:t>
      </w:r>
    </w:p>
    <w:p w14:paraId="1DA96FFF" w14:textId="104A33E0" w:rsidR="001D67DC" w:rsidRPr="001D67DC" w:rsidRDefault="001D67DC" w:rsidP="001D67DC">
      <w:pPr>
        <w:rPr>
          <w:rFonts w:ascii="Times New Roman" w:hAnsi="Times New Roman" w:cs="Times New Roman"/>
          <w:sz w:val="24"/>
          <w:szCs w:val="24"/>
        </w:rPr>
      </w:pPr>
      <w:r w:rsidRPr="001D67DC">
        <w:rPr>
          <w:rFonts w:ascii="Times New Roman" w:hAnsi="Times New Roman" w:cs="Times New Roman"/>
          <w:sz w:val="24"/>
          <w:szCs w:val="24"/>
        </w:rPr>
        <w:t>(</w:t>
      </w:r>
      <w:r w:rsidRPr="001D67DC">
        <w:rPr>
          <w:rFonts w:ascii="Times New Roman" w:hAnsi="Times New Roman" w:cs="Times New Roman"/>
          <w:sz w:val="24"/>
          <w:szCs w:val="24"/>
          <w:u w:val="single"/>
        </w:rPr>
        <w:t>The reason why Z-score wasn’t used?</w:t>
      </w:r>
      <w:r w:rsidRPr="001D67DC">
        <w:rPr>
          <w:rFonts w:ascii="Times New Roman" w:hAnsi="Times New Roman" w:cs="Times New Roman"/>
          <w:sz w:val="24"/>
          <w:szCs w:val="24"/>
        </w:rPr>
        <w:t xml:space="preserve"> </w:t>
      </w:r>
      <w:proofErr w:type="gramStart"/>
      <w:r w:rsidRPr="001D67DC">
        <w:rPr>
          <w:rFonts w:ascii="Times New Roman" w:hAnsi="Times New Roman" w:cs="Times New Roman"/>
          <w:sz w:val="24"/>
          <w:szCs w:val="24"/>
          <w:lang w:val="en-US"/>
        </w:rPr>
        <w:t>Z</w:t>
      </w:r>
      <w:proofErr w:type="gramEnd"/>
      <w:r w:rsidRPr="001D67DC">
        <w:rPr>
          <w:rFonts w:ascii="Times New Roman" w:hAnsi="Times New Roman" w:cs="Times New Roman"/>
          <w:sz w:val="24"/>
          <w:szCs w:val="24"/>
          <w:lang w:val="en-US"/>
        </w:rPr>
        <w:t>-score normalization standardizes variables relative to their mean and standard deviation, which is useful for statistical modelling, but it produces values that can be negative or unbounded. For an index designed to rank companies and communicate results clearly, a bounded 0–1 scale is more interpretable.</w:t>
      </w:r>
      <w:r w:rsidRPr="001D67DC">
        <w:rPr>
          <w:rFonts w:ascii="Times New Roman" w:hAnsi="Times New Roman" w:cs="Times New Roman"/>
          <w:sz w:val="24"/>
          <w:szCs w:val="24"/>
          <w:lang w:val="en-US"/>
        </w:rPr>
        <w:t>)</w:t>
      </w:r>
    </w:p>
    <w:p w14:paraId="083A52B2" w14:textId="157240C2" w:rsidR="001D67DC" w:rsidRPr="001D67DC" w:rsidRDefault="001D67DC" w:rsidP="001D67DC">
      <w:pPr>
        <w:pStyle w:val="ListParagraph"/>
        <w:numPr>
          <w:ilvl w:val="0"/>
          <w:numId w:val="1"/>
        </w:numPr>
        <w:rPr>
          <w:rFonts w:ascii="Times New Roman" w:hAnsi="Times New Roman" w:cs="Times New Roman"/>
          <w:b/>
          <w:bCs/>
          <w:sz w:val="24"/>
          <w:szCs w:val="24"/>
        </w:rPr>
      </w:pPr>
      <w:r w:rsidRPr="001D67DC">
        <w:rPr>
          <w:rFonts w:ascii="Times New Roman" w:hAnsi="Times New Roman" w:cs="Times New Roman"/>
          <w:b/>
          <w:bCs/>
          <w:sz w:val="24"/>
          <w:szCs w:val="24"/>
        </w:rPr>
        <w:t>Indicator direction</w:t>
      </w:r>
    </w:p>
    <w:p w14:paraId="40832DF6" w14:textId="4EFDFABB" w:rsidR="001D67DC" w:rsidRPr="001D67DC" w:rsidRDefault="003D4ABE" w:rsidP="001D67DC">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Certain</w:t>
      </w:r>
      <w:r w:rsidR="001D67DC" w:rsidRPr="001D67DC">
        <w:rPr>
          <w:rFonts w:ascii="Times New Roman" w:hAnsi="Times New Roman" w:cs="Times New Roman"/>
          <w:sz w:val="24"/>
          <w:szCs w:val="24"/>
        </w:rPr>
        <w:t xml:space="preserve"> indicators represent better outcomes when values are lower (e.g. gender pay gap).</w:t>
      </w:r>
    </w:p>
    <w:p w14:paraId="3CA5DC3D" w14:textId="25CB5BF4" w:rsidR="001D67DC" w:rsidRPr="001D67DC" w:rsidRDefault="001D67DC" w:rsidP="001D67DC">
      <w:pPr>
        <w:pStyle w:val="ListParagraph"/>
        <w:numPr>
          <w:ilvl w:val="0"/>
          <w:numId w:val="3"/>
        </w:numPr>
        <w:rPr>
          <w:rFonts w:ascii="Times New Roman" w:hAnsi="Times New Roman" w:cs="Times New Roman"/>
          <w:sz w:val="24"/>
          <w:szCs w:val="24"/>
        </w:rPr>
      </w:pPr>
      <w:r w:rsidRPr="001D67DC">
        <w:rPr>
          <w:rFonts w:ascii="Times New Roman" w:hAnsi="Times New Roman" w:cs="Times New Roman"/>
          <w:sz w:val="24"/>
          <w:szCs w:val="24"/>
        </w:rPr>
        <w:t>These indicators were reversed so that higher values consistently represent stronger diversity performance</w:t>
      </w:r>
      <w:r w:rsidRPr="001D67DC">
        <w:rPr>
          <w:rFonts w:ascii="Times New Roman" w:hAnsi="Times New Roman" w:cs="Times New Roman"/>
          <w:sz w:val="24"/>
          <w:szCs w:val="24"/>
        </w:rPr>
        <w:t>.</w:t>
      </w:r>
    </w:p>
    <w:p w14:paraId="04498523" w14:textId="77777777" w:rsidR="001D67DC" w:rsidRPr="001D67DC" w:rsidRDefault="001D67DC" w:rsidP="001D67DC">
      <w:pPr>
        <w:pStyle w:val="ListParagraph"/>
        <w:rPr>
          <w:rFonts w:ascii="Times New Roman" w:hAnsi="Times New Roman" w:cs="Times New Roman"/>
          <w:sz w:val="24"/>
          <w:szCs w:val="24"/>
        </w:rPr>
      </w:pPr>
    </w:p>
    <w:p w14:paraId="03871229" w14:textId="580EF8D2" w:rsidR="001D67DC" w:rsidRPr="001D67DC" w:rsidRDefault="001D67DC" w:rsidP="001D67DC">
      <w:pPr>
        <w:pStyle w:val="ListParagraph"/>
        <w:numPr>
          <w:ilvl w:val="0"/>
          <w:numId w:val="1"/>
        </w:numPr>
        <w:rPr>
          <w:rFonts w:ascii="Times New Roman" w:hAnsi="Times New Roman" w:cs="Times New Roman"/>
          <w:b/>
          <w:bCs/>
          <w:sz w:val="24"/>
          <w:szCs w:val="24"/>
        </w:rPr>
      </w:pPr>
      <w:r w:rsidRPr="001D67DC">
        <w:rPr>
          <w:rFonts w:ascii="Times New Roman" w:hAnsi="Times New Roman" w:cs="Times New Roman"/>
          <w:b/>
          <w:bCs/>
          <w:sz w:val="24"/>
          <w:szCs w:val="24"/>
        </w:rPr>
        <w:t>Composite diversity score</w:t>
      </w:r>
    </w:p>
    <w:p w14:paraId="6FD04F90" w14:textId="77777777" w:rsidR="001D67DC" w:rsidRPr="001D67DC" w:rsidRDefault="001D67DC" w:rsidP="001D67DC">
      <w:pPr>
        <w:pStyle w:val="ListParagraph"/>
        <w:numPr>
          <w:ilvl w:val="0"/>
          <w:numId w:val="2"/>
        </w:numPr>
        <w:rPr>
          <w:rFonts w:ascii="Times New Roman" w:hAnsi="Times New Roman" w:cs="Times New Roman"/>
          <w:sz w:val="24"/>
          <w:szCs w:val="24"/>
        </w:rPr>
      </w:pPr>
      <w:r w:rsidRPr="001D67DC">
        <w:rPr>
          <w:rFonts w:ascii="Times New Roman" w:hAnsi="Times New Roman" w:cs="Times New Roman"/>
          <w:sz w:val="24"/>
          <w:szCs w:val="24"/>
        </w:rPr>
        <w:t>A composite diversity score was calculated as the mean of all normalized indicators.</w:t>
      </w:r>
    </w:p>
    <w:p w14:paraId="258928A5" w14:textId="77777777" w:rsidR="001D67DC" w:rsidRPr="001D67DC" w:rsidRDefault="001D67DC" w:rsidP="001D67DC">
      <w:pPr>
        <w:pStyle w:val="ListParagraph"/>
        <w:numPr>
          <w:ilvl w:val="0"/>
          <w:numId w:val="2"/>
        </w:numPr>
        <w:rPr>
          <w:rFonts w:ascii="Times New Roman" w:hAnsi="Times New Roman" w:cs="Times New Roman"/>
          <w:sz w:val="24"/>
          <w:szCs w:val="24"/>
        </w:rPr>
      </w:pPr>
      <w:r w:rsidRPr="001D67DC">
        <w:rPr>
          <w:rFonts w:ascii="Times New Roman" w:hAnsi="Times New Roman" w:cs="Times New Roman"/>
          <w:sz w:val="24"/>
          <w:szCs w:val="24"/>
        </w:rPr>
        <w:t>Since the dataset did not specify indicator weights, equal weighting was used to maintain transparency and avoid introducing subjective assumptions.</w:t>
      </w:r>
    </w:p>
    <w:p w14:paraId="0CD66DF3" w14:textId="77777777" w:rsidR="001D67DC" w:rsidRPr="001D67DC" w:rsidRDefault="001D67DC" w:rsidP="001D67DC">
      <w:pPr>
        <w:pStyle w:val="ListParagraph"/>
        <w:rPr>
          <w:rFonts w:ascii="Times New Roman" w:hAnsi="Times New Roman" w:cs="Times New Roman"/>
          <w:sz w:val="24"/>
          <w:szCs w:val="24"/>
        </w:rPr>
      </w:pPr>
    </w:p>
    <w:p w14:paraId="19E919FC" w14:textId="6CF11358" w:rsidR="001D67DC" w:rsidRPr="001D67DC" w:rsidRDefault="001D67DC" w:rsidP="001D67DC">
      <w:pPr>
        <w:pStyle w:val="ListParagraph"/>
        <w:numPr>
          <w:ilvl w:val="0"/>
          <w:numId w:val="1"/>
        </w:numPr>
        <w:rPr>
          <w:rFonts w:ascii="Times New Roman" w:hAnsi="Times New Roman" w:cs="Times New Roman"/>
          <w:b/>
          <w:bCs/>
          <w:sz w:val="24"/>
          <w:szCs w:val="24"/>
        </w:rPr>
      </w:pPr>
      <w:r w:rsidRPr="001D67DC">
        <w:rPr>
          <w:rFonts w:ascii="Times New Roman" w:hAnsi="Times New Roman" w:cs="Times New Roman"/>
          <w:b/>
          <w:bCs/>
          <w:sz w:val="24"/>
          <w:szCs w:val="24"/>
        </w:rPr>
        <w:t>Ranking</w:t>
      </w:r>
    </w:p>
    <w:p w14:paraId="1E969C6F" w14:textId="77777777" w:rsidR="001D67DC" w:rsidRPr="001D67DC" w:rsidRDefault="001D67DC" w:rsidP="001D67DC">
      <w:pPr>
        <w:rPr>
          <w:rFonts w:ascii="Times New Roman" w:hAnsi="Times New Roman" w:cs="Times New Roman"/>
          <w:sz w:val="24"/>
          <w:szCs w:val="24"/>
        </w:rPr>
      </w:pPr>
      <w:r w:rsidRPr="001D67DC">
        <w:rPr>
          <w:rFonts w:ascii="Times New Roman" w:hAnsi="Times New Roman" w:cs="Times New Roman"/>
          <w:sz w:val="24"/>
          <w:szCs w:val="24"/>
        </w:rPr>
        <w:t>Companies were ranked in descending order of their composite diversity score.</w:t>
      </w:r>
    </w:p>
    <w:p w14:paraId="5EEA97F5" w14:textId="77777777" w:rsidR="001D67DC" w:rsidRPr="001D67DC" w:rsidRDefault="001D67DC">
      <w:pPr>
        <w:rPr>
          <w:rFonts w:ascii="Times New Roman" w:hAnsi="Times New Roman" w:cs="Times New Roman"/>
          <w:sz w:val="24"/>
          <w:szCs w:val="24"/>
        </w:rPr>
      </w:pPr>
    </w:p>
    <w:sectPr w:rsidR="001D67DC" w:rsidRPr="001D67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D3BD5"/>
    <w:multiLevelType w:val="hybridMultilevel"/>
    <w:tmpl w:val="5762C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137E88"/>
    <w:multiLevelType w:val="hybridMultilevel"/>
    <w:tmpl w:val="09B49C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DA67F1"/>
    <w:multiLevelType w:val="hybridMultilevel"/>
    <w:tmpl w:val="CB563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4D36A0D"/>
    <w:multiLevelType w:val="hybridMultilevel"/>
    <w:tmpl w:val="A53808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70A3A9F"/>
    <w:multiLevelType w:val="hybridMultilevel"/>
    <w:tmpl w:val="16342F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1850710">
    <w:abstractNumId w:val="4"/>
  </w:num>
  <w:num w:numId="2" w16cid:durableId="1296108536">
    <w:abstractNumId w:val="3"/>
  </w:num>
  <w:num w:numId="3" w16cid:durableId="743572840">
    <w:abstractNumId w:val="0"/>
  </w:num>
  <w:num w:numId="4" w16cid:durableId="1712463531">
    <w:abstractNumId w:val="2"/>
  </w:num>
  <w:num w:numId="5" w16cid:durableId="17381646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DC"/>
    <w:rsid w:val="00183DDE"/>
    <w:rsid w:val="001D67DC"/>
    <w:rsid w:val="003D4ABE"/>
    <w:rsid w:val="00A70816"/>
    <w:rsid w:val="00B044E5"/>
    <w:rsid w:val="00CA059F"/>
    <w:rsid w:val="00E05DF6"/>
    <w:rsid w:val="00EA65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C70D5"/>
  <w15:chartTrackingRefBased/>
  <w15:docId w15:val="{AA4A3F4D-2A14-4E4F-AE30-FBB52DEE2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7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67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67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67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67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6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67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67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67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67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6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DC"/>
    <w:rPr>
      <w:rFonts w:eastAsiaTheme="majorEastAsia" w:cstheme="majorBidi"/>
      <w:color w:val="272727" w:themeColor="text1" w:themeTint="D8"/>
    </w:rPr>
  </w:style>
  <w:style w:type="paragraph" w:styleId="Title">
    <w:name w:val="Title"/>
    <w:basedOn w:val="Normal"/>
    <w:next w:val="Normal"/>
    <w:link w:val="TitleChar"/>
    <w:uiPriority w:val="10"/>
    <w:qFormat/>
    <w:rsid w:val="001D6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DC"/>
    <w:pPr>
      <w:spacing w:before="160"/>
      <w:jc w:val="center"/>
    </w:pPr>
    <w:rPr>
      <w:i/>
      <w:iCs/>
      <w:color w:val="404040" w:themeColor="text1" w:themeTint="BF"/>
    </w:rPr>
  </w:style>
  <w:style w:type="character" w:customStyle="1" w:styleId="QuoteChar">
    <w:name w:val="Quote Char"/>
    <w:basedOn w:val="DefaultParagraphFont"/>
    <w:link w:val="Quote"/>
    <w:uiPriority w:val="29"/>
    <w:rsid w:val="001D67DC"/>
    <w:rPr>
      <w:i/>
      <w:iCs/>
      <w:color w:val="404040" w:themeColor="text1" w:themeTint="BF"/>
    </w:rPr>
  </w:style>
  <w:style w:type="paragraph" w:styleId="ListParagraph">
    <w:name w:val="List Paragraph"/>
    <w:basedOn w:val="Normal"/>
    <w:uiPriority w:val="34"/>
    <w:qFormat/>
    <w:rsid w:val="001D67DC"/>
    <w:pPr>
      <w:ind w:left="720"/>
      <w:contextualSpacing/>
    </w:pPr>
  </w:style>
  <w:style w:type="character" w:styleId="IntenseEmphasis">
    <w:name w:val="Intense Emphasis"/>
    <w:basedOn w:val="DefaultParagraphFont"/>
    <w:uiPriority w:val="21"/>
    <w:qFormat/>
    <w:rsid w:val="001D67DC"/>
    <w:rPr>
      <w:i/>
      <w:iCs/>
      <w:color w:val="2F5496" w:themeColor="accent1" w:themeShade="BF"/>
    </w:rPr>
  </w:style>
  <w:style w:type="paragraph" w:styleId="IntenseQuote">
    <w:name w:val="Intense Quote"/>
    <w:basedOn w:val="Normal"/>
    <w:next w:val="Normal"/>
    <w:link w:val="IntenseQuoteChar"/>
    <w:uiPriority w:val="30"/>
    <w:qFormat/>
    <w:rsid w:val="001D67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67DC"/>
    <w:rPr>
      <w:i/>
      <w:iCs/>
      <w:color w:val="2F5496" w:themeColor="accent1" w:themeShade="BF"/>
    </w:rPr>
  </w:style>
  <w:style w:type="character" w:styleId="IntenseReference">
    <w:name w:val="Intense Reference"/>
    <w:basedOn w:val="DefaultParagraphFont"/>
    <w:uiPriority w:val="32"/>
    <w:qFormat/>
    <w:rsid w:val="001D67DC"/>
    <w:rPr>
      <w:b/>
      <w:bCs/>
      <w:smallCaps/>
      <w:color w:val="2F5496" w:themeColor="accent1" w:themeShade="BF"/>
      <w:spacing w:val="5"/>
    </w:rPr>
  </w:style>
  <w:style w:type="paragraph" w:styleId="NormalWeb">
    <w:name w:val="Normal (Web)"/>
    <w:basedOn w:val="Normal"/>
    <w:uiPriority w:val="99"/>
    <w:semiHidden/>
    <w:unhideWhenUsed/>
    <w:rsid w:val="001D67D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223</Words>
  <Characters>1273</Characters>
  <Application>Microsoft Office Word</Application>
  <DocSecurity>0</DocSecurity>
  <Lines>10</Lines>
  <Paragraphs>2</Paragraphs>
  <ScaleCrop>false</ScaleCrop>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Ashli .</dc:creator>
  <cp:keywords/>
  <dc:description/>
  <cp:lastModifiedBy>Ashli .</cp:lastModifiedBy>
  <cp:revision>4</cp:revision>
  <dcterms:created xsi:type="dcterms:W3CDTF">2026-03-13T06:34:00Z</dcterms:created>
  <dcterms:modified xsi:type="dcterms:W3CDTF">2026-03-13T06:42:00Z</dcterms:modified>
</cp:coreProperties>
</file>