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B98EE7">
      <w:pPr>
        <w:keepNext/>
        <w:keepLines/>
        <w:snapToGrid w:val="0"/>
        <w:spacing w:before="156" w:beforeLines="50" w:after="156" w:afterLines="50"/>
        <w:jc w:val="center"/>
        <w:outlineLvl w:val="0"/>
        <w:rPr>
          <w:rFonts w:eastAsia="黑体"/>
          <w:b/>
          <w:kern w:val="44"/>
          <w:sz w:val="30"/>
          <w:szCs w:val="30"/>
        </w:rPr>
      </w:pPr>
      <w:r>
        <w:rPr>
          <w:rFonts w:eastAsia="黑体"/>
          <w:b/>
          <w:sz w:val="30"/>
          <w:szCs w:val="30"/>
        </w:rPr>
        <w:t>重庆邮电大学本科毕业设计（论文）任务书</w:t>
      </w:r>
    </w:p>
    <w:tbl>
      <w:tblPr>
        <w:tblStyle w:val="3"/>
        <w:tblW w:w="8955" w:type="dxa"/>
        <w:tblInd w:w="0" w:type="dxa"/>
        <w:tblLayout w:type="fixed"/>
        <w:tblCellMar>
          <w:top w:w="0" w:type="dxa"/>
          <w:left w:w="108" w:type="dxa"/>
          <w:bottom w:w="0" w:type="dxa"/>
          <w:right w:w="108" w:type="dxa"/>
        </w:tblCellMar>
      </w:tblPr>
      <w:tblGrid>
        <w:gridCol w:w="1200"/>
        <w:gridCol w:w="3271"/>
        <w:gridCol w:w="32"/>
        <w:gridCol w:w="1275"/>
        <w:gridCol w:w="3177"/>
      </w:tblGrid>
      <w:tr w14:paraId="7D5D8E40">
        <w:tblPrEx>
          <w:tblCellMar>
            <w:top w:w="0" w:type="dxa"/>
            <w:left w:w="108" w:type="dxa"/>
            <w:bottom w:w="0" w:type="dxa"/>
            <w:right w:w="108" w:type="dxa"/>
          </w:tblCellMar>
        </w:tblPrEx>
        <w:trPr>
          <w:trHeight w:val="454" w:hRule="atLeast"/>
        </w:trPr>
        <w:tc>
          <w:tcPr>
            <w:tcW w:w="1200" w:type="dxa"/>
            <w:tcBorders>
              <w:top w:val="single" w:color="auto" w:sz="4" w:space="0"/>
              <w:left w:val="single" w:color="auto" w:sz="4" w:space="0"/>
              <w:bottom w:val="single" w:color="auto" w:sz="4" w:space="0"/>
              <w:right w:val="single" w:color="auto" w:sz="4" w:space="0"/>
            </w:tcBorders>
            <w:vAlign w:val="center"/>
          </w:tcPr>
          <w:p w14:paraId="52FEFEC5">
            <w:pPr>
              <w:jc w:val="center"/>
              <w:rPr>
                <w:rFonts w:eastAsiaTheme="minorEastAsia"/>
                <w:sz w:val="24"/>
              </w:rPr>
            </w:pPr>
            <w:r>
              <w:rPr>
                <w:rFonts w:eastAsiaTheme="minorEastAsia"/>
                <w:sz w:val="24"/>
              </w:rPr>
              <w:t>题    目</w:t>
            </w:r>
          </w:p>
        </w:tc>
        <w:tc>
          <w:tcPr>
            <w:tcW w:w="7755" w:type="dxa"/>
            <w:gridSpan w:val="4"/>
            <w:tcBorders>
              <w:top w:val="single" w:color="auto" w:sz="4" w:space="0"/>
              <w:left w:val="single" w:color="auto" w:sz="4" w:space="0"/>
              <w:bottom w:val="single" w:color="auto" w:sz="4" w:space="0"/>
              <w:right w:val="single" w:color="auto" w:sz="4" w:space="0"/>
            </w:tcBorders>
            <w:vAlign w:val="center"/>
          </w:tcPr>
          <w:p w14:paraId="4C92E07A">
            <w:pPr>
              <w:jc w:val="center"/>
              <w:rPr>
                <w:rFonts w:eastAsiaTheme="minorEastAsia"/>
                <w:sz w:val="24"/>
              </w:rPr>
            </w:pPr>
            <w:r>
              <w:rPr>
                <w:rFonts w:eastAsiaTheme="minorEastAsia"/>
                <w:sz w:val="24"/>
              </w:rPr>
              <w:t>基于深度语义通信（DeepSC）的图像鲁棒传输系统设计与实现</w:t>
            </w:r>
          </w:p>
        </w:tc>
      </w:tr>
      <w:tr w14:paraId="47B093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00" w:type="dxa"/>
            <w:tcBorders>
              <w:top w:val="single" w:color="auto" w:sz="4" w:space="0"/>
              <w:left w:val="single" w:color="auto" w:sz="4" w:space="0"/>
              <w:bottom w:val="single" w:color="auto" w:sz="4" w:space="0"/>
              <w:right w:val="single" w:color="auto" w:sz="4" w:space="0"/>
            </w:tcBorders>
            <w:vAlign w:val="center"/>
          </w:tcPr>
          <w:p w14:paraId="618711AB">
            <w:pPr>
              <w:jc w:val="center"/>
              <w:rPr>
                <w:rFonts w:eastAsiaTheme="minorEastAsia"/>
                <w:sz w:val="24"/>
              </w:rPr>
            </w:pPr>
            <w:r>
              <w:rPr>
                <w:rFonts w:eastAsiaTheme="minorEastAsia"/>
                <w:sz w:val="24"/>
              </w:rPr>
              <w:t>学生姓名</w:t>
            </w:r>
          </w:p>
        </w:tc>
        <w:tc>
          <w:tcPr>
            <w:tcW w:w="3303" w:type="dxa"/>
            <w:gridSpan w:val="2"/>
            <w:tcBorders>
              <w:top w:val="single" w:color="auto" w:sz="4" w:space="0"/>
              <w:left w:val="single" w:color="auto" w:sz="4" w:space="0"/>
              <w:bottom w:val="single" w:color="auto" w:sz="4" w:space="0"/>
              <w:right w:val="single" w:color="auto" w:sz="4" w:space="0"/>
            </w:tcBorders>
            <w:vAlign w:val="center"/>
          </w:tcPr>
          <w:p w14:paraId="54F93038">
            <w:pPr>
              <w:jc w:val="center"/>
              <w:rPr>
                <w:rFonts w:eastAsiaTheme="minorEastAsia"/>
                <w:sz w:val="24"/>
              </w:rPr>
            </w:pPr>
          </w:p>
        </w:tc>
        <w:tc>
          <w:tcPr>
            <w:tcW w:w="1275" w:type="dxa"/>
            <w:tcBorders>
              <w:top w:val="single" w:color="auto" w:sz="4" w:space="0"/>
              <w:left w:val="single" w:color="auto" w:sz="4" w:space="0"/>
              <w:bottom w:val="single" w:color="auto" w:sz="4" w:space="0"/>
              <w:right w:val="single" w:color="auto" w:sz="4" w:space="0"/>
            </w:tcBorders>
            <w:vAlign w:val="center"/>
          </w:tcPr>
          <w:p w14:paraId="51F54E83">
            <w:pPr>
              <w:jc w:val="center"/>
              <w:rPr>
                <w:rFonts w:eastAsiaTheme="minorEastAsia"/>
                <w:sz w:val="24"/>
              </w:rPr>
            </w:pPr>
            <w:r>
              <w:rPr>
                <w:rFonts w:eastAsiaTheme="minorEastAsia"/>
                <w:sz w:val="24"/>
              </w:rPr>
              <w:t>学  号</w:t>
            </w:r>
          </w:p>
        </w:tc>
        <w:tc>
          <w:tcPr>
            <w:tcW w:w="3177" w:type="dxa"/>
            <w:tcBorders>
              <w:top w:val="single" w:color="auto" w:sz="4" w:space="0"/>
              <w:left w:val="single" w:color="auto" w:sz="4" w:space="0"/>
              <w:bottom w:val="single" w:color="auto" w:sz="4" w:space="0"/>
              <w:right w:val="single" w:color="auto" w:sz="4" w:space="0"/>
            </w:tcBorders>
            <w:vAlign w:val="center"/>
          </w:tcPr>
          <w:p w14:paraId="7E5BDFCC">
            <w:pPr>
              <w:jc w:val="center"/>
              <w:rPr>
                <w:rFonts w:eastAsiaTheme="minorEastAsia"/>
                <w:sz w:val="24"/>
              </w:rPr>
            </w:pPr>
          </w:p>
        </w:tc>
      </w:tr>
      <w:tr w14:paraId="2E4738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00" w:type="dxa"/>
            <w:tcBorders>
              <w:top w:val="single" w:color="auto" w:sz="4" w:space="0"/>
              <w:left w:val="single" w:color="auto" w:sz="4" w:space="0"/>
              <w:bottom w:val="single" w:color="auto" w:sz="4" w:space="0"/>
              <w:right w:val="single" w:color="auto" w:sz="4" w:space="0"/>
            </w:tcBorders>
            <w:vAlign w:val="center"/>
          </w:tcPr>
          <w:p w14:paraId="36F6C568">
            <w:pPr>
              <w:jc w:val="center"/>
              <w:rPr>
                <w:rFonts w:eastAsiaTheme="minorEastAsia"/>
                <w:sz w:val="24"/>
              </w:rPr>
            </w:pPr>
            <w:r>
              <w:rPr>
                <w:rFonts w:eastAsiaTheme="minorEastAsia"/>
                <w:sz w:val="24"/>
              </w:rPr>
              <w:t>指导教师</w:t>
            </w:r>
          </w:p>
        </w:tc>
        <w:tc>
          <w:tcPr>
            <w:tcW w:w="3303" w:type="dxa"/>
            <w:gridSpan w:val="2"/>
            <w:tcBorders>
              <w:top w:val="single" w:color="auto" w:sz="4" w:space="0"/>
              <w:left w:val="single" w:color="auto" w:sz="4" w:space="0"/>
              <w:bottom w:val="single" w:color="auto" w:sz="4" w:space="0"/>
              <w:right w:val="single" w:color="auto" w:sz="4" w:space="0"/>
            </w:tcBorders>
            <w:vAlign w:val="center"/>
          </w:tcPr>
          <w:p w14:paraId="18D57A0C">
            <w:pPr>
              <w:jc w:val="center"/>
              <w:rPr>
                <w:rFonts w:eastAsiaTheme="minorEastAsia"/>
                <w:sz w:val="24"/>
              </w:rPr>
            </w:pPr>
          </w:p>
        </w:tc>
        <w:tc>
          <w:tcPr>
            <w:tcW w:w="1275" w:type="dxa"/>
            <w:tcBorders>
              <w:top w:val="single" w:color="auto" w:sz="4" w:space="0"/>
              <w:left w:val="single" w:color="auto" w:sz="4" w:space="0"/>
              <w:bottom w:val="single" w:color="auto" w:sz="4" w:space="0"/>
              <w:right w:val="single" w:color="auto" w:sz="4" w:space="0"/>
            </w:tcBorders>
            <w:vAlign w:val="center"/>
          </w:tcPr>
          <w:p w14:paraId="5DFA4830">
            <w:pPr>
              <w:jc w:val="center"/>
              <w:rPr>
                <w:rFonts w:eastAsiaTheme="minorEastAsia"/>
                <w:sz w:val="24"/>
              </w:rPr>
            </w:pPr>
            <w:r>
              <w:rPr>
                <w:rFonts w:eastAsiaTheme="minorEastAsia"/>
                <w:sz w:val="24"/>
              </w:rPr>
              <w:t>所在单位</w:t>
            </w:r>
          </w:p>
        </w:tc>
        <w:tc>
          <w:tcPr>
            <w:tcW w:w="3177" w:type="dxa"/>
            <w:tcBorders>
              <w:top w:val="single" w:color="auto" w:sz="4" w:space="0"/>
              <w:left w:val="single" w:color="auto" w:sz="4" w:space="0"/>
              <w:bottom w:val="single" w:color="auto" w:sz="4" w:space="0"/>
              <w:right w:val="single" w:color="auto" w:sz="4" w:space="0"/>
            </w:tcBorders>
            <w:vAlign w:val="center"/>
          </w:tcPr>
          <w:p w14:paraId="3C5C0905">
            <w:pPr>
              <w:jc w:val="center"/>
              <w:rPr>
                <w:rFonts w:eastAsiaTheme="minorEastAsia"/>
                <w:sz w:val="24"/>
              </w:rPr>
            </w:pPr>
            <w:r>
              <w:rPr>
                <w:bCs/>
                <w:sz w:val="24"/>
              </w:rPr>
              <w:t>通信与信息工程学院</w:t>
            </w:r>
          </w:p>
        </w:tc>
      </w:tr>
      <w:tr w14:paraId="1D595F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200" w:type="dxa"/>
            <w:tcBorders>
              <w:top w:val="single" w:color="auto" w:sz="4" w:space="0"/>
            </w:tcBorders>
            <w:shd w:val="clear" w:color="auto" w:fill="F8F8F8"/>
            <w:vAlign w:val="center"/>
          </w:tcPr>
          <w:p w14:paraId="63BF2895">
            <w:pPr>
              <w:jc w:val="center"/>
              <w:rPr>
                <w:rFonts w:eastAsiaTheme="minorEastAsia"/>
                <w:sz w:val="24"/>
              </w:rPr>
            </w:pPr>
            <w:r>
              <w:rPr>
                <w:rFonts w:eastAsiaTheme="minorEastAsia"/>
                <w:sz w:val="24"/>
              </w:rPr>
              <w:t>题目类型</w:t>
            </w:r>
          </w:p>
        </w:tc>
        <w:tc>
          <w:tcPr>
            <w:tcW w:w="7755" w:type="dxa"/>
            <w:gridSpan w:val="4"/>
            <w:tcBorders>
              <w:top w:val="single" w:color="auto" w:sz="4" w:space="0"/>
            </w:tcBorders>
            <w:vAlign w:val="center"/>
          </w:tcPr>
          <w:p w14:paraId="7A126980">
            <w:pPr>
              <w:jc w:val="center"/>
              <w:rPr>
                <w:rFonts w:eastAsiaTheme="minorEastAsia"/>
                <w:sz w:val="24"/>
              </w:rPr>
            </w:pPr>
            <w:r>
              <w:rPr>
                <w:rFonts w:eastAsiaTheme="minorEastAsia"/>
                <w:sz w:val="24"/>
              </w:rPr>
              <w:t xml:space="preserve">□应用型   </w:t>
            </w:r>
            <w:r>
              <w:rPr>
                <w:sz w:val="24"/>
              </w:rPr>
              <w:sym w:font="Wingdings" w:char="F0FE"/>
            </w:r>
            <w:r>
              <w:rPr>
                <w:rFonts w:eastAsiaTheme="minorEastAsia"/>
                <w:sz w:val="24"/>
              </w:rPr>
              <w:t>研究型   □综合型   □其它</w:t>
            </w:r>
          </w:p>
        </w:tc>
      </w:tr>
      <w:tr w14:paraId="00C170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955" w:type="dxa"/>
            <w:gridSpan w:val="5"/>
            <w:tcBorders>
              <w:top w:val="single" w:color="auto" w:sz="4" w:space="0"/>
            </w:tcBorders>
            <w:shd w:val="clear" w:color="auto" w:fill="F8F8F8"/>
            <w:vAlign w:val="center"/>
          </w:tcPr>
          <w:p w14:paraId="2EF811A6">
            <w:pPr>
              <w:jc w:val="center"/>
              <w:rPr>
                <w:rFonts w:eastAsiaTheme="minorEastAsia"/>
                <w:sz w:val="24"/>
              </w:rPr>
            </w:pPr>
            <w:r>
              <w:rPr>
                <w:rFonts w:hint="eastAsia" w:asciiTheme="minorEastAsia" w:hAnsiTheme="minorEastAsia" w:eastAsiaTheme="minorEastAsia" w:cstheme="minorEastAsia"/>
                <w:sz w:val="24"/>
              </w:rPr>
              <w:t>是否需要在实验、实习、工程实践和社会调查等社会实践中完成（</w:t>
            </w:r>
            <w:r>
              <w:rPr>
                <w:rFonts w:hint="eastAsia" w:asciiTheme="minorEastAsia" w:hAnsiTheme="minorEastAsia" w:eastAsiaTheme="minorEastAsia" w:cstheme="minorEastAsia"/>
                <w:sz w:val="24"/>
                <w:lang w:eastAsia="zh-CN"/>
              </w:rPr>
              <w:t>☑</w:t>
            </w:r>
            <w:r>
              <w:rPr>
                <w:rFonts w:hint="eastAsia" w:asciiTheme="minorEastAsia" w:hAnsiTheme="minorEastAsia" w:eastAsiaTheme="minorEastAsia" w:cstheme="minorEastAsia"/>
                <w:sz w:val="24"/>
              </w:rPr>
              <w:t>是□否）</w:t>
            </w:r>
          </w:p>
        </w:tc>
      </w:tr>
      <w:tr w14:paraId="391A5B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8955" w:type="dxa"/>
            <w:gridSpan w:val="5"/>
            <w:tcBorders>
              <w:bottom w:val="single" w:color="auto" w:sz="4" w:space="0"/>
            </w:tcBorders>
            <w:shd w:val="clear" w:color="auto" w:fill="F5F5F5"/>
            <w:vAlign w:val="center"/>
          </w:tcPr>
          <w:p w14:paraId="54FCE066">
            <w:pPr>
              <w:rPr>
                <w:rFonts w:eastAsiaTheme="minorEastAsia"/>
                <w:sz w:val="24"/>
              </w:rPr>
            </w:pPr>
            <w:r>
              <w:rPr>
                <w:rFonts w:eastAsiaTheme="minorEastAsia"/>
                <w:b/>
                <w:bCs/>
                <w:sz w:val="24"/>
              </w:rPr>
              <w:t>一、研究目标</w:t>
            </w:r>
          </w:p>
        </w:tc>
      </w:tr>
      <w:tr w14:paraId="5DF834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71" w:hRule="atLeast"/>
        </w:trPr>
        <w:tc>
          <w:tcPr>
            <w:tcW w:w="8955" w:type="dxa"/>
            <w:gridSpan w:val="5"/>
            <w:shd w:val="clear" w:color="auto" w:fill="FFFFFF" w:themeFill="background1"/>
          </w:tcPr>
          <w:p w14:paraId="2D016A97">
            <w:pPr>
              <w:keepNext w:val="0"/>
              <w:keepLines w:val="0"/>
              <w:pageBreakBefore w:val="0"/>
              <w:widowControl w:val="0"/>
              <w:kinsoku/>
              <w:wordWrap/>
              <w:overflowPunct/>
              <w:topLinePunct w:val="0"/>
              <w:autoSpaceDE/>
              <w:autoSpaceDN/>
              <w:bidi w:val="0"/>
              <w:adjustRightInd/>
              <w:snapToGrid w:val="0"/>
              <w:spacing w:after="156" w:afterLines="50" w:line="360" w:lineRule="auto"/>
              <w:ind w:firstLine="480" w:firstLineChars="200"/>
              <w:textAlignment w:val="auto"/>
              <w:rPr>
                <w:rFonts w:eastAsiaTheme="minorEastAsia"/>
                <w:sz w:val="24"/>
              </w:rPr>
            </w:pPr>
            <w:r>
              <w:rPr>
                <w:rFonts w:eastAsiaTheme="minorEastAsia"/>
                <w:sz w:val="24"/>
              </w:rPr>
              <w:t>语义通信作为6G的核心技术之一，通过让通信系统直接传输</w:t>
            </w:r>
            <w:r>
              <w:rPr>
                <w:rFonts w:hint="eastAsia" w:eastAsiaTheme="minorEastAsia"/>
                <w:sz w:val="24"/>
                <w:lang w:eastAsia="zh-CN"/>
              </w:rPr>
              <w:t>“</w:t>
            </w:r>
            <w:r>
              <w:rPr>
                <w:rFonts w:eastAsiaTheme="minorEastAsia"/>
                <w:sz w:val="24"/>
              </w:rPr>
              <w:t>意义</w:t>
            </w:r>
            <w:r>
              <w:rPr>
                <w:rFonts w:hint="eastAsia" w:eastAsiaTheme="minorEastAsia"/>
                <w:sz w:val="24"/>
                <w:lang w:eastAsia="zh-CN"/>
              </w:rPr>
              <w:t>”</w:t>
            </w:r>
            <w:r>
              <w:rPr>
                <w:rFonts w:eastAsiaTheme="minorEastAsia"/>
                <w:sz w:val="24"/>
              </w:rPr>
              <w:t>而非</w:t>
            </w:r>
            <w:r>
              <w:rPr>
                <w:rFonts w:hint="eastAsia" w:eastAsiaTheme="minorEastAsia"/>
                <w:sz w:val="24"/>
                <w:lang w:eastAsia="zh-CN"/>
              </w:rPr>
              <w:t>“</w:t>
            </w:r>
            <w:r>
              <w:rPr>
                <w:rFonts w:eastAsiaTheme="minorEastAsia"/>
                <w:sz w:val="24"/>
              </w:rPr>
              <w:t>比特</w:t>
            </w:r>
            <w:r>
              <w:rPr>
                <w:rFonts w:hint="eastAsia" w:eastAsiaTheme="minorEastAsia"/>
                <w:sz w:val="24"/>
                <w:lang w:eastAsia="zh-CN"/>
              </w:rPr>
              <w:t>”</w:t>
            </w:r>
            <w:r>
              <w:rPr>
                <w:rFonts w:eastAsiaTheme="minorEastAsia"/>
                <w:sz w:val="24"/>
              </w:rPr>
              <w:t>，在低信噪比和带宽受限环境中具有显著优势。本</w:t>
            </w:r>
            <w:r>
              <w:rPr>
                <w:rFonts w:hint="eastAsia" w:eastAsiaTheme="minorEastAsia"/>
                <w:sz w:val="24"/>
                <w:lang w:val="en-US" w:eastAsia="zh-CN"/>
              </w:rPr>
              <w:t>设计</w:t>
            </w:r>
            <w:r>
              <w:rPr>
                <w:rFonts w:eastAsiaTheme="minorEastAsia"/>
                <w:sz w:val="24"/>
              </w:rPr>
              <w:t>旨在基于深度语义通信框架DeepSC，设计并实现一套面向图像任务的端到端语义编码系统。通过构建语义编码器、可微信道及语义解码器，探索复杂无线信道下图像语义传输的鲁棒性。同时开发可视化软件，实现图像上传、SNR调节、实时重构展示等功能，并对语义通信与传统编码方案进行性能对比与综合分析。</w:t>
            </w:r>
          </w:p>
        </w:tc>
      </w:tr>
      <w:tr w14:paraId="132B17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8955" w:type="dxa"/>
            <w:gridSpan w:val="5"/>
            <w:shd w:val="clear" w:color="auto" w:fill="F5F5F5"/>
            <w:vAlign w:val="center"/>
          </w:tcPr>
          <w:p w14:paraId="0B60CFDB">
            <w:pPr>
              <w:rPr>
                <w:rFonts w:eastAsiaTheme="minorEastAsia"/>
                <w:b/>
                <w:bCs/>
                <w:sz w:val="24"/>
              </w:rPr>
            </w:pPr>
            <w:r>
              <w:rPr>
                <w:rFonts w:eastAsiaTheme="minorEastAsia"/>
                <w:b/>
                <w:bCs/>
                <w:sz w:val="24"/>
              </w:rPr>
              <w:t>二、主要研究内容和方法</w:t>
            </w:r>
          </w:p>
        </w:tc>
      </w:tr>
      <w:tr w14:paraId="2E891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64" w:hRule="atLeast"/>
        </w:trPr>
        <w:tc>
          <w:tcPr>
            <w:tcW w:w="8955" w:type="dxa"/>
            <w:gridSpan w:val="5"/>
          </w:tcPr>
          <w:p w14:paraId="63E2F17B">
            <w:pPr>
              <w:keepNext w:val="0"/>
              <w:keepLines w:val="0"/>
              <w:pageBreakBefore w:val="0"/>
              <w:widowControl w:val="0"/>
              <w:numPr>
                <w:ilvl w:val="0"/>
                <w:numId w:val="1"/>
              </w:numPr>
              <w:kinsoku/>
              <w:wordWrap/>
              <w:overflowPunct/>
              <w:topLinePunct w:val="0"/>
              <w:autoSpaceDE/>
              <w:autoSpaceDN/>
              <w:bidi w:val="0"/>
              <w:adjustRightInd/>
              <w:snapToGrid w:val="0"/>
              <w:spacing w:line="360" w:lineRule="auto"/>
              <w:ind w:left="-480" w:leftChars="0" w:firstLine="480" w:firstLineChars="0"/>
              <w:jc w:val="both"/>
              <w:textAlignment w:val="auto"/>
              <w:rPr>
                <w:rFonts w:hint="eastAsia" w:eastAsiaTheme="minorEastAsia"/>
                <w:sz w:val="24"/>
              </w:rPr>
            </w:pPr>
            <w:r>
              <w:rPr>
                <w:rFonts w:hint="eastAsia" w:eastAsiaTheme="minorEastAsia"/>
                <w:sz w:val="24"/>
              </w:rPr>
              <w:t>主要研究内容：</w:t>
            </w:r>
          </w:p>
          <w:p w14:paraId="583A369A">
            <w:pPr>
              <w:numPr>
                <w:ilvl w:val="0"/>
                <w:numId w:val="2"/>
              </w:numPr>
              <w:snapToGrid w:val="0"/>
              <w:spacing w:after="156" w:afterLines="50" w:line="360" w:lineRule="auto"/>
              <w:ind w:firstLine="480" w:firstLineChars="200"/>
              <w:rPr>
                <w:rFonts w:hint="eastAsia" w:eastAsiaTheme="minorEastAsia"/>
                <w:bCs/>
                <w:sz w:val="24"/>
              </w:rPr>
            </w:pPr>
            <w:r>
              <w:rPr>
                <w:rFonts w:hint="eastAsia" w:eastAsiaTheme="minorEastAsia"/>
                <w:bCs/>
                <w:sz w:val="24"/>
              </w:rPr>
              <w:t>基于DeepSC图像语义通信模型，</w:t>
            </w:r>
            <w:r>
              <w:rPr>
                <w:rFonts w:ascii="宋体" w:hAnsi="宋体" w:eastAsia="宋体" w:cs="宋体"/>
                <w:sz w:val="24"/>
                <w:szCs w:val="24"/>
              </w:rPr>
              <w:t>构建卷积与注意力融合的语义编码器，将图像提取成低维语义特征，并通过语义解码器实现重构；研究不同压缩率对重建质量的影响。</w:t>
            </w:r>
          </w:p>
          <w:p w14:paraId="3C8D59CD">
            <w:pPr>
              <w:numPr>
                <w:ilvl w:val="0"/>
                <w:numId w:val="2"/>
              </w:numPr>
              <w:snapToGrid w:val="0"/>
              <w:spacing w:after="156" w:afterLines="50" w:line="360" w:lineRule="auto"/>
              <w:ind w:firstLine="480" w:firstLineChars="200"/>
              <w:rPr>
                <w:rFonts w:hint="eastAsia" w:eastAsiaTheme="minorEastAsia"/>
                <w:bCs/>
                <w:sz w:val="24"/>
              </w:rPr>
            </w:pPr>
            <w:r>
              <w:rPr>
                <w:rFonts w:hint="eastAsia" w:eastAsiaTheme="minorEastAsia"/>
                <w:bCs/>
                <w:sz w:val="24"/>
              </w:rPr>
              <w:t>在端到端网络中嵌入可微的无线信道模型（AWGN高斯白噪声信道、Rayleigh瑞利衰落信道），使模型能够自适应学习噪声与衰落特性，提高抗干扰能力。</w:t>
            </w:r>
          </w:p>
          <w:p w14:paraId="3AAB4193">
            <w:pPr>
              <w:numPr>
                <w:ilvl w:val="0"/>
                <w:numId w:val="2"/>
              </w:numPr>
              <w:snapToGrid w:val="0"/>
              <w:spacing w:after="156" w:afterLines="50" w:line="360" w:lineRule="auto"/>
              <w:ind w:firstLine="480" w:firstLineChars="200"/>
              <w:rPr>
                <w:rFonts w:hint="eastAsia" w:eastAsiaTheme="minorEastAsia"/>
                <w:bCs/>
                <w:sz w:val="24"/>
              </w:rPr>
            </w:pPr>
            <w:r>
              <w:rPr>
                <w:rFonts w:hint="eastAsia" w:eastAsiaTheme="minorEastAsia"/>
                <w:bCs/>
                <w:sz w:val="24"/>
              </w:rPr>
              <w:t>基于Python（Streamlit或PyQt），实现图像上传、SNR调节、语义传输与重构展示、PSNR/SSIM自动计算等功能。</w:t>
            </w:r>
          </w:p>
          <w:p w14:paraId="1A59A0AC">
            <w:pPr>
              <w:numPr>
                <w:ilvl w:val="0"/>
                <w:numId w:val="2"/>
              </w:numPr>
              <w:snapToGrid w:val="0"/>
              <w:spacing w:after="156" w:afterLines="50" w:line="360" w:lineRule="auto"/>
              <w:ind w:firstLine="480" w:firstLineChars="200"/>
              <w:rPr>
                <w:rFonts w:hint="eastAsia" w:eastAsiaTheme="minorEastAsia"/>
                <w:bCs/>
                <w:sz w:val="24"/>
              </w:rPr>
            </w:pPr>
            <w:r>
              <w:rPr>
                <w:rFonts w:hint="eastAsia" w:eastAsiaTheme="minorEastAsia"/>
                <w:bCs/>
                <w:sz w:val="24"/>
              </w:rPr>
              <w:t>以</w:t>
            </w:r>
            <w:r>
              <w:rPr>
                <w:rFonts w:hint="eastAsia" w:eastAsiaTheme="minorEastAsia"/>
                <w:bCs/>
                <w:sz w:val="24"/>
                <w:lang w:eastAsia="zh-CN"/>
              </w:rPr>
              <w:t>“</w:t>
            </w:r>
            <w:r>
              <w:rPr>
                <w:rFonts w:hint="eastAsia" w:eastAsiaTheme="minorEastAsia"/>
                <w:bCs/>
                <w:sz w:val="24"/>
              </w:rPr>
              <w:t>JPEG/BPG＋调制信道</w:t>
            </w:r>
            <w:r>
              <w:rPr>
                <w:rFonts w:hint="eastAsia" w:eastAsiaTheme="minorEastAsia"/>
                <w:bCs/>
                <w:sz w:val="24"/>
                <w:lang w:eastAsia="zh-CN"/>
              </w:rPr>
              <w:t>”</w:t>
            </w:r>
            <w:r>
              <w:rPr>
                <w:rFonts w:hint="eastAsia" w:eastAsiaTheme="minorEastAsia"/>
                <w:bCs/>
                <w:sz w:val="24"/>
              </w:rPr>
              <w:t>方案为基线，对比两者在不同SNR下的重构质量、鲁棒性和延迟，评估语义通信优势。</w:t>
            </w:r>
          </w:p>
          <w:p w14:paraId="4868B43F">
            <w:pPr>
              <w:keepNext w:val="0"/>
              <w:keepLines w:val="0"/>
              <w:pageBreakBefore w:val="0"/>
              <w:widowControl w:val="0"/>
              <w:numPr>
                <w:ilvl w:val="0"/>
                <w:numId w:val="1"/>
              </w:numPr>
              <w:kinsoku/>
              <w:wordWrap/>
              <w:overflowPunct/>
              <w:topLinePunct w:val="0"/>
              <w:autoSpaceDE/>
              <w:autoSpaceDN/>
              <w:bidi w:val="0"/>
              <w:adjustRightInd/>
              <w:snapToGrid w:val="0"/>
              <w:spacing w:line="360" w:lineRule="auto"/>
              <w:ind w:left="-480" w:leftChars="0" w:firstLine="480" w:firstLineChars="0"/>
              <w:textAlignment w:val="auto"/>
              <w:rPr>
                <w:rFonts w:hint="eastAsia" w:eastAsiaTheme="minorEastAsia"/>
                <w:sz w:val="24"/>
              </w:rPr>
            </w:pPr>
            <w:r>
              <w:rPr>
                <w:rFonts w:hint="eastAsia" w:eastAsiaTheme="minorEastAsia"/>
                <w:sz w:val="24"/>
              </w:rPr>
              <w:t>研究方法：</w:t>
            </w:r>
          </w:p>
          <w:p w14:paraId="7FED8CDA">
            <w:pPr>
              <w:numPr>
                <w:ilvl w:val="0"/>
                <w:numId w:val="3"/>
              </w:numPr>
              <w:snapToGrid w:val="0"/>
              <w:spacing w:after="156" w:afterLines="50" w:line="360" w:lineRule="auto"/>
              <w:ind w:firstLine="480" w:firstLineChars="200"/>
              <w:rPr>
                <w:rFonts w:eastAsiaTheme="minorEastAsia"/>
                <w:sz w:val="24"/>
              </w:rPr>
            </w:pPr>
            <w:r>
              <w:rPr>
                <w:rFonts w:eastAsiaTheme="minorEastAsia"/>
                <w:sz w:val="24"/>
              </w:rPr>
              <w:t>采用PyTorch搭建端到端语义通信网络，使用Adam优化器与MSE＋SSIM混合损失实现稳定训练。</w:t>
            </w:r>
          </w:p>
          <w:p w14:paraId="4C7808C6">
            <w:pPr>
              <w:numPr>
                <w:ilvl w:val="0"/>
                <w:numId w:val="3"/>
              </w:numPr>
              <w:snapToGrid w:val="0"/>
              <w:spacing w:after="156" w:afterLines="50" w:line="360" w:lineRule="auto"/>
              <w:ind w:firstLine="480" w:firstLineChars="200"/>
              <w:rPr>
                <w:rFonts w:eastAsiaTheme="minorEastAsia"/>
                <w:sz w:val="24"/>
              </w:rPr>
            </w:pPr>
            <w:r>
              <w:rPr>
                <w:rFonts w:eastAsiaTheme="minorEastAsia"/>
                <w:sz w:val="24"/>
              </w:rPr>
              <w:t>选用CIFAR-10、Kodak等图像数据集，结合随机增强与多SNR条件的蒙特卡洛仿真，评估模型鲁棒性。</w:t>
            </w:r>
          </w:p>
          <w:p w14:paraId="4CAFD1D5">
            <w:pPr>
              <w:numPr>
                <w:ilvl w:val="0"/>
                <w:numId w:val="3"/>
              </w:numPr>
              <w:snapToGrid w:val="0"/>
              <w:spacing w:after="156" w:afterLines="50" w:line="360" w:lineRule="auto"/>
              <w:ind w:firstLine="480" w:firstLineChars="200"/>
              <w:rPr>
                <w:rFonts w:eastAsiaTheme="minorEastAsia"/>
                <w:sz w:val="24"/>
              </w:rPr>
            </w:pPr>
            <w:r>
              <w:rPr>
                <w:rFonts w:eastAsiaTheme="minorEastAsia"/>
                <w:sz w:val="24"/>
              </w:rPr>
              <w:t>通过模块化设计，将训练好的模型封装为推理接口，并在GUI中实现实时图像展示与性能测试。</w:t>
            </w:r>
          </w:p>
          <w:p w14:paraId="646B06F6">
            <w:pPr>
              <w:numPr>
                <w:ilvl w:val="0"/>
                <w:numId w:val="3"/>
              </w:numPr>
              <w:snapToGrid w:val="0"/>
              <w:spacing w:after="156" w:afterLines="50" w:line="360" w:lineRule="auto"/>
              <w:ind w:firstLine="480" w:firstLineChars="200"/>
              <w:rPr>
                <w:rFonts w:eastAsiaTheme="minorEastAsia"/>
                <w:sz w:val="24"/>
              </w:rPr>
            </w:pPr>
            <w:r>
              <w:rPr>
                <w:rFonts w:eastAsiaTheme="minorEastAsia"/>
                <w:sz w:val="24"/>
              </w:rPr>
              <w:t>通过曲线分析、可视化对比等方式验证模型在不同信道条件下的可靠性与工程可行性。</w:t>
            </w:r>
          </w:p>
        </w:tc>
      </w:tr>
      <w:tr w14:paraId="5C8AAE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8955" w:type="dxa"/>
            <w:gridSpan w:val="5"/>
            <w:shd w:val="clear" w:color="auto" w:fill="F8F8F8"/>
            <w:vAlign w:val="center"/>
          </w:tcPr>
          <w:p w14:paraId="308025FC">
            <w:pPr>
              <w:rPr>
                <w:rFonts w:eastAsiaTheme="minorEastAsia"/>
                <w:sz w:val="24"/>
              </w:rPr>
            </w:pPr>
            <w:r>
              <w:rPr>
                <w:rFonts w:eastAsiaTheme="minorEastAsia"/>
                <w:b/>
                <w:bCs/>
                <w:sz w:val="24"/>
              </w:rPr>
              <w:t>三、主要考核要求或指标</w:t>
            </w:r>
          </w:p>
        </w:tc>
      </w:tr>
      <w:tr w14:paraId="7ED922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81" w:hRule="atLeast"/>
        </w:trPr>
        <w:tc>
          <w:tcPr>
            <w:tcW w:w="8955" w:type="dxa"/>
            <w:gridSpan w:val="5"/>
            <w:tcBorders>
              <w:bottom w:val="single" w:color="auto" w:sz="4" w:space="0"/>
            </w:tcBorders>
          </w:tcPr>
          <w:p w14:paraId="59BF0214">
            <w:pPr>
              <w:keepNext w:val="0"/>
              <w:keepLines w:val="0"/>
              <w:pageBreakBefore w:val="0"/>
              <w:widowControl w:val="0"/>
              <w:numPr>
                <w:ilvl w:val="0"/>
                <w:numId w:val="4"/>
              </w:numPr>
              <w:kinsoku/>
              <w:wordWrap/>
              <w:overflowPunct/>
              <w:topLinePunct w:val="0"/>
              <w:autoSpaceDE/>
              <w:autoSpaceDN/>
              <w:bidi w:val="0"/>
              <w:adjustRightInd/>
              <w:snapToGrid w:val="0"/>
              <w:spacing w:line="360" w:lineRule="auto"/>
              <w:ind w:left="-480" w:leftChars="0" w:firstLine="480" w:firstLineChars="0"/>
              <w:textAlignment w:val="auto"/>
              <w:rPr>
                <w:rFonts w:hint="eastAsia" w:eastAsiaTheme="minorEastAsia"/>
                <w:sz w:val="24"/>
              </w:rPr>
            </w:pPr>
            <w:r>
              <w:rPr>
                <w:rFonts w:ascii="宋体" w:hAnsi="宋体" w:eastAsia="宋体" w:cs="宋体"/>
                <w:sz w:val="24"/>
                <w:szCs w:val="24"/>
              </w:rPr>
              <w:t>系统功能要求</w:t>
            </w:r>
          </w:p>
          <w:p w14:paraId="197467C1">
            <w:pPr>
              <w:keepNext w:val="0"/>
              <w:keepLines w:val="0"/>
              <w:pageBreakBefore w:val="0"/>
              <w:widowControl w:val="0"/>
              <w:numPr>
                <w:ilvl w:val="0"/>
                <w:numId w:val="5"/>
              </w:numPr>
              <w:kinsoku/>
              <w:wordWrap/>
              <w:overflowPunct/>
              <w:topLinePunct w:val="0"/>
              <w:autoSpaceDE/>
              <w:autoSpaceDN/>
              <w:bidi w:val="0"/>
              <w:adjustRightInd/>
              <w:snapToGrid w:val="0"/>
              <w:spacing w:after="156" w:afterLines="50" w:line="360" w:lineRule="auto"/>
              <w:ind w:firstLine="480" w:firstLineChars="200"/>
              <w:textAlignment w:val="auto"/>
              <w:rPr>
                <w:rFonts w:hint="eastAsia" w:eastAsiaTheme="minorEastAsia"/>
                <w:bCs/>
                <w:sz w:val="24"/>
                <w:lang w:eastAsia="zh-CN"/>
              </w:rPr>
            </w:pPr>
            <w:r>
              <w:rPr>
                <w:rFonts w:hint="eastAsia" w:eastAsiaTheme="minorEastAsia"/>
                <w:bCs/>
                <w:sz w:val="24"/>
                <w:lang w:eastAsia="zh-CN"/>
              </w:rPr>
              <w:t>系统需提供完整图形用户界面（GUI），支持图像选择、参数设置与结果展示。</w:t>
            </w:r>
          </w:p>
          <w:p w14:paraId="6C924A7E">
            <w:pPr>
              <w:keepNext w:val="0"/>
              <w:keepLines w:val="0"/>
              <w:pageBreakBefore w:val="0"/>
              <w:widowControl w:val="0"/>
              <w:numPr>
                <w:ilvl w:val="0"/>
                <w:numId w:val="5"/>
              </w:numPr>
              <w:kinsoku/>
              <w:wordWrap/>
              <w:overflowPunct/>
              <w:topLinePunct w:val="0"/>
              <w:autoSpaceDE/>
              <w:autoSpaceDN/>
              <w:bidi w:val="0"/>
              <w:adjustRightInd/>
              <w:snapToGrid w:val="0"/>
              <w:spacing w:after="156" w:afterLines="50" w:line="360" w:lineRule="auto"/>
              <w:ind w:firstLine="480" w:firstLineChars="200"/>
              <w:textAlignment w:val="auto"/>
              <w:rPr>
                <w:rFonts w:hint="eastAsia" w:eastAsiaTheme="minorEastAsia"/>
                <w:bCs/>
                <w:sz w:val="24"/>
                <w:lang w:eastAsia="zh-CN"/>
              </w:rPr>
            </w:pPr>
            <w:r>
              <w:rPr>
                <w:rFonts w:hint="eastAsia" w:eastAsiaTheme="minorEastAsia"/>
                <w:bCs/>
                <w:sz w:val="24"/>
                <w:lang w:eastAsia="zh-CN"/>
              </w:rPr>
              <w:t>支持用户上传本地图像，并自动完成预处理。</w:t>
            </w:r>
          </w:p>
          <w:p w14:paraId="05BCD89C">
            <w:pPr>
              <w:keepNext w:val="0"/>
              <w:keepLines w:val="0"/>
              <w:pageBreakBefore w:val="0"/>
              <w:widowControl w:val="0"/>
              <w:numPr>
                <w:ilvl w:val="0"/>
                <w:numId w:val="5"/>
              </w:numPr>
              <w:kinsoku/>
              <w:wordWrap/>
              <w:overflowPunct/>
              <w:topLinePunct w:val="0"/>
              <w:autoSpaceDE/>
              <w:autoSpaceDN/>
              <w:bidi w:val="0"/>
              <w:adjustRightInd/>
              <w:snapToGrid w:val="0"/>
              <w:spacing w:after="156" w:afterLines="50" w:line="360" w:lineRule="auto"/>
              <w:ind w:firstLine="480" w:firstLineChars="200"/>
              <w:textAlignment w:val="auto"/>
              <w:rPr>
                <w:rFonts w:hint="eastAsia" w:eastAsiaTheme="minorEastAsia"/>
                <w:bCs/>
                <w:sz w:val="24"/>
                <w:lang w:eastAsia="zh-CN"/>
              </w:rPr>
            </w:pPr>
            <w:r>
              <w:rPr>
                <w:rFonts w:hint="eastAsia" w:eastAsiaTheme="minorEastAsia"/>
                <w:bCs/>
                <w:sz w:val="24"/>
                <w:lang w:eastAsia="zh-CN"/>
              </w:rPr>
              <w:t>提供SNR调节滑块，范围至少覆盖−5 dB～20 dB。</w:t>
            </w:r>
          </w:p>
          <w:p w14:paraId="1E5CC3F5">
            <w:pPr>
              <w:keepNext w:val="0"/>
              <w:keepLines w:val="0"/>
              <w:pageBreakBefore w:val="0"/>
              <w:widowControl w:val="0"/>
              <w:numPr>
                <w:ilvl w:val="0"/>
                <w:numId w:val="5"/>
              </w:numPr>
              <w:kinsoku/>
              <w:wordWrap/>
              <w:overflowPunct/>
              <w:topLinePunct w:val="0"/>
              <w:autoSpaceDE/>
              <w:autoSpaceDN/>
              <w:bidi w:val="0"/>
              <w:adjustRightInd/>
              <w:snapToGrid w:val="0"/>
              <w:spacing w:after="156" w:afterLines="50" w:line="360" w:lineRule="auto"/>
              <w:ind w:firstLine="480" w:firstLineChars="200"/>
              <w:textAlignment w:val="auto"/>
              <w:rPr>
                <w:rFonts w:hint="eastAsia" w:eastAsiaTheme="minorEastAsia"/>
                <w:bCs/>
                <w:sz w:val="24"/>
                <w:lang w:eastAsia="zh-CN"/>
              </w:rPr>
            </w:pPr>
            <w:r>
              <w:rPr>
                <w:rFonts w:hint="eastAsia" w:eastAsiaTheme="minorEastAsia"/>
                <w:bCs/>
                <w:sz w:val="24"/>
                <w:lang w:eastAsia="zh-CN"/>
              </w:rPr>
              <w:t>能够实时展示“发送原图”、</w:t>
            </w:r>
            <w:bookmarkStart w:id="0" w:name="_GoBack"/>
            <w:bookmarkEnd w:id="0"/>
            <w:r>
              <w:rPr>
                <w:rFonts w:hint="eastAsia" w:eastAsiaTheme="minorEastAsia"/>
                <w:bCs/>
                <w:sz w:val="24"/>
                <w:lang w:eastAsia="zh-CN"/>
              </w:rPr>
              <w:t>“DeepSC 重构图”和“传统方案重构图”的对比结果。</w:t>
            </w:r>
          </w:p>
          <w:p w14:paraId="72828AD0">
            <w:pPr>
              <w:keepNext w:val="0"/>
              <w:keepLines w:val="0"/>
              <w:pageBreakBefore w:val="0"/>
              <w:widowControl w:val="0"/>
              <w:numPr>
                <w:ilvl w:val="0"/>
                <w:numId w:val="5"/>
              </w:numPr>
              <w:kinsoku/>
              <w:wordWrap/>
              <w:overflowPunct/>
              <w:topLinePunct w:val="0"/>
              <w:autoSpaceDE/>
              <w:autoSpaceDN/>
              <w:bidi w:val="0"/>
              <w:adjustRightInd/>
              <w:snapToGrid w:val="0"/>
              <w:spacing w:after="156" w:afterLines="50" w:line="360" w:lineRule="auto"/>
              <w:ind w:firstLine="480" w:firstLineChars="200"/>
              <w:textAlignment w:val="auto"/>
              <w:rPr>
                <w:rFonts w:hint="eastAsia" w:eastAsiaTheme="minorEastAsia"/>
                <w:bCs/>
                <w:sz w:val="24"/>
                <w:lang w:eastAsia="zh-CN"/>
              </w:rPr>
            </w:pPr>
            <w:r>
              <w:rPr>
                <w:rFonts w:ascii="宋体" w:hAnsi="宋体" w:eastAsia="宋体" w:cs="宋体"/>
                <w:sz w:val="24"/>
                <w:szCs w:val="24"/>
              </w:rPr>
              <w:t>界面中自动计算并显示PSNR、SSIM等关键性能指标。</w:t>
            </w:r>
          </w:p>
          <w:p w14:paraId="794ABCDC">
            <w:pPr>
              <w:keepNext w:val="0"/>
              <w:keepLines w:val="0"/>
              <w:pageBreakBefore w:val="0"/>
              <w:widowControl w:val="0"/>
              <w:numPr>
                <w:ilvl w:val="0"/>
                <w:numId w:val="4"/>
              </w:numPr>
              <w:kinsoku/>
              <w:wordWrap/>
              <w:overflowPunct/>
              <w:topLinePunct w:val="0"/>
              <w:autoSpaceDE/>
              <w:autoSpaceDN/>
              <w:bidi w:val="0"/>
              <w:adjustRightInd/>
              <w:snapToGrid w:val="0"/>
              <w:spacing w:line="360" w:lineRule="auto"/>
              <w:ind w:left="-480" w:leftChars="0" w:firstLine="480" w:firstLineChars="0"/>
              <w:textAlignment w:val="auto"/>
              <w:rPr>
                <w:rFonts w:eastAsiaTheme="minorEastAsia"/>
                <w:bCs/>
                <w:sz w:val="24"/>
              </w:rPr>
            </w:pPr>
            <w:r>
              <w:rPr>
                <w:rFonts w:eastAsiaTheme="minorEastAsia"/>
                <w:bCs/>
                <w:sz w:val="24"/>
              </w:rPr>
              <w:t>性能量化指标</w:t>
            </w:r>
          </w:p>
          <w:p w14:paraId="4C25AB86">
            <w:pPr>
              <w:keepNext w:val="0"/>
              <w:keepLines w:val="0"/>
              <w:pageBreakBefore w:val="0"/>
              <w:widowControl w:val="0"/>
              <w:numPr>
                <w:ilvl w:val="0"/>
                <w:numId w:val="6"/>
              </w:numPr>
              <w:kinsoku/>
              <w:wordWrap/>
              <w:overflowPunct/>
              <w:topLinePunct w:val="0"/>
              <w:autoSpaceDE/>
              <w:autoSpaceDN/>
              <w:bidi w:val="0"/>
              <w:adjustRightInd/>
              <w:snapToGrid w:val="0"/>
              <w:spacing w:after="156" w:afterLines="50" w:line="360" w:lineRule="auto"/>
              <w:ind w:firstLine="480" w:firstLineChars="200"/>
              <w:textAlignment w:val="auto"/>
              <w:rPr>
                <w:rFonts w:hint="eastAsia" w:eastAsiaTheme="minorEastAsia"/>
                <w:bCs/>
                <w:sz w:val="24"/>
                <w:lang w:eastAsia="zh-CN"/>
              </w:rPr>
            </w:pPr>
            <w:r>
              <w:rPr>
                <w:rFonts w:hint="eastAsia" w:eastAsiaTheme="minorEastAsia"/>
                <w:bCs/>
                <w:sz w:val="24"/>
                <w:lang w:eastAsia="zh-CN"/>
              </w:rPr>
              <w:t>在</w:t>
            </w:r>
            <w:r>
              <w:rPr>
                <w:rFonts w:hint="eastAsia" w:eastAsiaTheme="minorEastAsia"/>
                <w:bCs/>
                <w:sz w:val="24"/>
                <w:lang w:val="en-US" w:eastAsia="zh-CN"/>
              </w:rPr>
              <w:t>极低信噪比（如</w:t>
            </w:r>
            <m:oMath>
              <m:r>
                <m:rPr>
                  <m:sty m:val="p"/>
                </m:rPr>
                <w:rPr>
                  <w:rFonts w:hint="default" w:ascii="Times New Roman" w:hAnsi="Times New Roman" w:eastAsiaTheme="minorEastAsia"/>
                  <w:sz w:val="24"/>
                </w:rPr>
                <m:t>SNR=0 dB</m:t>
              </m:r>
            </m:oMath>
            <w:r>
              <w:rPr>
                <w:rFonts w:hint="eastAsia" w:eastAsiaTheme="minorEastAsia"/>
                <w:bCs/>
                <w:sz w:val="24"/>
                <w:lang w:val="en-US" w:eastAsia="zh-CN"/>
              </w:rPr>
              <w:t>）的AWGN信道中，DeepSC 系统的PSNR必须优于</w:t>
            </w:r>
            <w:r>
              <w:rPr>
                <w:rFonts w:hint="eastAsia" w:eastAsiaTheme="minorEastAsia"/>
                <w:bCs/>
                <w:sz w:val="24"/>
              </w:rPr>
              <w:t>基线</w:t>
            </w:r>
            <w:r>
              <w:rPr>
                <w:rFonts w:hint="eastAsia" w:eastAsiaTheme="minorEastAsia"/>
                <w:bCs/>
                <w:sz w:val="24"/>
                <w:lang w:val="en-US" w:eastAsia="zh-CN"/>
              </w:rPr>
              <w:t>方案至少</w:t>
            </w:r>
            <m:oMath>
              <m:r>
                <m:rPr>
                  <m:sty m:val="p"/>
                </m:rPr>
                <w:rPr>
                  <w:rFonts w:hint="default" w:ascii="Times New Roman" w:hAnsi="Times New Roman" w:eastAsiaTheme="minorEastAsia"/>
                  <w:sz w:val="24"/>
                </w:rPr>
                <m:t>1.5 dB</m:t>
              </m:r>
            </m:oMath>
            <w:r>
              <w:rPr>
                <w:rFonts w:hint="eastAsia" w:eastAsiaTheme="minorEastAsia"/>
                <w:bCs/>
                <w:sz w:val="24"/>
                <w:lang w:val="en-US" w:eastAsia="zh-CN"/>
              </w:rPr>
              <w:t>。</w:t>
            </w:r>
          </w:p>
          <w:p w14:paraId="7F24D980">
            <w:pPr>
              <w:keepNext w:val="0"/>
              <w:keepLines w:val="0"/>
              <w:pageBreakBefore w:val="0"/>
              <w:widowControl w:val="0"/>
              <w:numPr>
                <w:ilvl w:val="0"/>
                <w:numId w:val="6"/>
              </w:numPr>
              <w:kinsoku/>
              <w:wordWrap/>
              <w:overflowPunct/>
              <w:topLinePunct w:val="0"/>
              <w:autoSpaceDE/>
              <w:autoSpaceDN/>
              <w:bidi w:val="0"/>
              <w:adjustRightInd/>
              <w:snapToGrid w:val="0"/>
              <w:spacing w:after="156" w:afterLines="50" w:line="360" w:lineRule="auto"/>
              <w:ind w:firstLine="480" w:firstLineChars="200"/>
              <w:textAlignment w:val="auto"/>
              <w:rPr>
                <w:rFonts w:hint="eastAsia" w:eastAsiaTheme="minorEastAsia"/>
                <w:bCs/>
                <w:sz w:val="24"/>
                <w:lang w:eastAsia="zh-CN"/>
              </w:rPr>
            </w:pPr>
            <w:r>
              <w:rPr>
                <w:rFonts w:hint="eastAsia" w:eastAsiaTheme="minorEastAsia"/>
                <w:bCs/>
                <w:sz w:val="24"/>
                <w:lang w:val="en-US" w:eastAsia="zh-CN"/>
              </w:rPr>
              <w:t>在普通PC上，端到端推理延迟不超过</w:t>
            </w:r>
            <m:oMath>
              <m:r>
                <m:rPr/>
                <w:rPr>
                  <w:rFonts w:hint="default" w:ascii="Cambria Math" w:hAnsi="Cambria Math" w:eastAsiaTheme="minorEastAsia"/>
                  <w:sz w:val="24"/>
                </w:rPr>
                <m:t>1.5</m:t>
              </m:r>
              <m:r>
                <m:rPr>
                  <m:sty m:val="p"/>
                </m:rPr>
                <w:rPr>
                  <w:rFonts w:hint="default" w:ascii="Cambria Math" w:hAnsi="Cambria Math" w:eastAsiaTheme="minorEastAsia"/>
                  <w:sz w:val="24"/>
                </w:rPr>
                <m:t xml:space="preserve"> 秒</m:t>
              </m:r>
            </m:oMath>
            <w:r>
              <w:rPr>
                <w:rFonts w:hint="eastAsia" w:eastAsiaTheme="minorEastAsia"/>
                <w:bCs/>
                <w:sz w:val="24"/>
                <w:lang w:val="en-US" w:eastAsia="zh-CN"/>
              </w:rPr>
              <w:t>。</w:t>
            </w:r>
          </w:p>
          <w:p w14:paraId="46B622BC">
            <w:pPr>
              <w:keepNext w:val="0"/>
              <w:keepLines w:val="0"/>
              <w:pageBreakBefore w:val="0"/>
              <w:widowControl w:val="0"/>
              <w:numPr>
                <w:ilvl w:val="0"/>
                <w:numId w:val="6"/>
              </w:numPr>
              <w:kinsoku/>
              <w:wordWrap/>
              <w:overflowPunct/>
              <w:topLinePunct w:val="0"/>
              <w:autoSpaceDE/>
              <w:autoSpaceDN/>
              <w:bidi w:val="0"/>
              <w:adjustRightInd/>
              <w:snapToGrid w:val="0"/>
              <w:spacing w:after="156" w:afterLines="50" w:line="360" w:lineRule="auto"/>
              <w:ind w:firstLine="480" w:firstLineChars="200"/>
              <w:textAlignment w:val="auto"/>
              <w:rPr>
                <w:rFonts w:hint="eastAsia" w:eastAsiaTheme="minorEastAsia"/>
                <w:bCs/>
                <w:sz w:val="24"/>
                <w:lang w:eastAsia="zh-CN"/>
              </w:rPr>
            </w:pPr>
            <w:r>
              <w:rPr>
                <w:rFonts w:hint="eastAsia" w:eastAsiaTheme="minorEastAsia"/>
                <w:bCs/>
                <w:sz w:val="24"/>
                <w:lang w:eastAsia="zh-CN"/>
              </w:rPr>
              <w:t>模型训练的Loss曲线收敛稳定，最终收敛值达到预期水平。</w:t>
            </w:r>
          </w:p>
          <w:p w14:paraId="6D825BD3">
            <w:pPr>
              <w:keepNext w:val="0"/>
              <w:keepLines w:val="0"/>
              <w:pageBreakBefore w:val="0"/>
              <w:widowControl w:val="0"/>
              <w:numPr>
                <w:ilvl w:val="0"/>
                <w:numId w:val="4"/>
              </w:numPr>
              <w:kinsoku/>
              <w:wordWrap/>
              <w:overflowPunct/>
              <w:topLinePunct w:val="0"/>
              <w:autoSpaceDE/>
              <w:autoSpaceDN/>
              <w:bidi w:val="0"/>
              <w:adjustRightInd/>
              <w:snapToGrid w:val="0"/>
              <w:spacing w:line="360" w:lineRule="auto"/>
              <w:ind w:left="-480" w:leftChars="0" w:firstLine="480" w:firstLineChars="0"/>
              <w:textAlignment w:val="auto"/>
              <w:rPr>
                <w:rFonts w:eastAsiaTheme="minorEastAsia"/>
                <w:bCs/>
                <w:sz w:val="24"/>
              </w:rPr>
            </w:pPr>
            <w:r>
              <w:rPr>
                <w:rFonts w:eastAsiaTheme="minorEastAsia"/>
                <w:bCs/>
                <w:sz w:val="24"/>
              </w:rPr>
              <w:t>非技术因素</w:t>
            </w:r>
            <w:r>
              <w:rPr>
                <w:rFonts w:hint="eastAsia" w:eastAsiaTheme="minorEastAsia"/>
                <w:bCs/>
                <w:sz w:val="24"/>
                <w:lang w:val="en-US" w:eastAsia="zh-CN"/>
              </w:rPr>
              <w:t>分析</w:t>
            </w:r>
          </w:p>
          <w:p w14:paraId="7C4C7C90">
            <w:pPr>
              <w:keepNext w:val="0"/>
              <w:keepLines w:val="0"/>
              <w:pageBreakBefore w:val="0"/>
              <w:widowControl w:val="0"/>
              <w:numPr>
                <w:ilvl w:val="0"/>
                <w:numId w:val="7"/>
              </w:numPr>
              <w:kinsoku/>
              <w:wordWrap/>
              <w:overflowPunct/>
              <w:topLinePunct w:val="0"/>
              <w:autoSpaceDE/>
              <w:autoSpaceDN/>
              <w:bidi w:val="0"/>
              <w:adjustRightInd/>
              <w:snapToGrid w:val="0"/>
              <w:spacing w:after="156" w:afterLines="50" w:line="360" w:lineRule="auto"/>
              <w:ind w:firstLine="480" w:firstLineChars="200"/>
              <w:textAlignment w:val="auto"/>
              <w:rPr>
                <w:rFonts w:eastAsiaTheme="minorEastAsia"/>
                <w:bCs/>
                <w:sz w:val="24"/>
              </w:rPr>
            </w:pPr>
            <w:r>
              <w:rPr>
                <w:rFonts w:eastAsiaTheme="minorEastAsia"/>
                <w:bCs/>
                <w:sz w:val="24"/>
              </w:rPr>
              <w:t>隐私</w:t>
            </w:r>
            <w:r>
              <w:rPr>
                <w:rFonts w:hint="eastAsia" w:eastAsiaTheme="minorEastAsia"/>
                <w:bCs/>
                <w:sz w:val="24"/>
                <w:lang w:val="en-US" w:eastAsia="zh-CN"/>
              </w:rPr>
              <w:t>与安全性</w:t>
            </w:r>
            <w:r>
              <w:rPr>
                <w:rFonts w:eastAsiaTheme="minorEastAsia"/>
                <w:bCs/>
                <w:sz w:val="24"/>
              </w:rPr>
              <w:t>：分析语义特征传输相较比特流在被窃听环境下的解码难度与潜在隐私保护能力。</w:t>
            </w:r>
          </w:p>
          <w:p w14:paraId="3E9B78A5">
            <w:pPr>
              <w:keepNext w:val="0"/>
              <w:keepLines w:val="0"/>
              <w:pageBreakBefore w:val="0"/>
              <w:widowControl w:val="0"/>
              <w:numPr>
                <w:ilvl w:val="0"/>
                <w:numId w:val="7"/>
              </w:numPr>
              <w:kinsoku/>
              <w:wordWrap/>
              <w:overflowPunct/>
              <w:topLinePunct w:val="0"/>
              <w:autoSpaceDE/>
              <w:autoSpaceDN/>
              <w:bidi w:val="0"/>
              <w:adjustRightInd/>
              <w:snapToGrid w:val="0"/>
              <w:spacing w:after="156" w:afterLines="50" w:line="360" w:lineRule="auto"/>
              <w:ind w:firstLine="480" w:firstLineChars="200"/>
              <w:textAlignment w:val="auto"/>
              <w:rPr>
                <w:rFonts w:eastAsiaTheme="minorEastAsia"/>
                <w:bCs/>
                <w:sz w:val="24"/>
              </w:rPr>
            </w:pPr>
            <w:r>
              <w:rPr>
                <w:rFonts w:hint="eastAsia" w:eastAsiaTheme="minorEastAsia"/>
                <w:bCs/>
                <w:sz w:val="24"/>
                <w:lang w:val="en-US" w:eastAsia="zh-CN"/>
              </w:rPr>
              <w:t>绿色通信</w:t>
            </w:r>
            <w:r>
              <w:rPr>
                <w:rFonts w:eastAsiaTheme="minorEastAsia"/>
                <w:bCs/>
                <w:sz w:val="24"/>
              </w:rPr>
              <w:t>与可持续</w:t>
            </w:r>
            <w:r>
              <w:rPr>
                <w:rFonts w:hint="eastAsia" w:eastAsiaTheme="minorEastAsia"/>
                <w:bCs/>
                <w:sz w:val="24"/>
                <w:lang w:val="en-US" w:eastAsia="zh-CN"/>
              </w:rPr>
              <w:t>性</w:t>
            </w:r>
            <w:r>
              <w:rPr>
                <w:rFonts w:eastAsiaTheme="minorEastAsia"/>
                <w:bCs/>
                <w:sz w:val="24"/>
              </w:rPr>
              <w:t>：</w:t>
            </w:r>
            <w:r>
              <w:rPr>
                <w:rFonts w:ascii="宋体" w:hAnsi="宋体" w:eastAsia="宋体" w:cs="宋体"/>
                <w:sz w:val="24"/>
                <w:szCs w:val="24"/>
              </w:rPr>
              <w:t>分析语义通信减少重传、冗余编码带来的能耗节省。</w:t>
            </w:r>
          </w:p>
        </w:tc>
      </w:tr>
      <w:tr w14:paraId="2A69A6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955" w:type="dxa"/>
            <w:gridSpan w:val="5"/>
            <w:shd w:val="clear" w:color="auto" w:fill="F8F8F8"/>
            <w:vAlign w:val="center"/>
          </w:tcPr>
          <w:p w14:paraId="0B3458FC">
            <w:pPr>
              <w:rPr>
                <w:rFonts w:eastAsiaTheme="minorEastAsia"/>
                <w:sz w:val="24"/>
              </w:rPr>
            </w:pPr>
            <w:r>
              <w:rPr>
                <w:rFonts w:eastAsiaTheme="minorEastAsia"/>
                <w:b/>
                <w:bCs/>
                <w:sz w:val="24"/>
              </w:rPr>
              <w:t>四、主要参考文献</w:t>
            </w:r>
          </w:p>
        </w:tc>
      </w:tr>
      <w:tr w14:paraId="1DC8E4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4" w:hRule="atLeast"/>
        </w:trPr>
        <w:tc>
          <w:tcPr>
            <w:tcW w:w="8955" w:type="dxa"/>
            <w:gridSpan w:val="5"/>
          </w:tcPr>
          <w:p w14:paraId="79BD61F4">
            <w:pPr>
              <w:keepNext w:val="0"/>
              <w:keepLines w:val="0"/>
              <w:pageBreakBefore w:val="0"/>
              <w:widowControl w:val="0"/>
              <w:numPr>
                <w:ilvl w:val="0"/>
                <w:numId w:val="8"/>
              </w:numPr>
              <w:kinsoku/>
              <w:wordWrap/>
              <w:overflowPunct/>
              <w:topLinePunct w:val="0"/>
              <w:autoSpaceDE/>
              <w:autoSpaceDN/>
              <w:bidi w:val="0"/>
              <w:adjustRightInd/>
              <w:snapToGrid w:val="0"/>
              <w:spacing w:line="360" w:lineRule="auto"/>
              <w:ind w:left="0" w:hanging="480" w:hangingChars="200"/>
              <w:textAlignment w:val="auto"/>
              <w:rPr>
                <w:rFonts w:hint="default" w:eastAsiaTheme="minorEastAsia"/>
                <w:bCs/>
                <w:sz w:val="24"/>
              </w:rPr>
            </w:pPr>
            <w:r>
              <w:rPr>
                <w:rFonts w:hint="default" w:eastAsiaTheme="minorEastAsia"/>
                <w:bCs/>
                <w:sz w:val="24"/>
              </w:rPr>
              <w:t>H. Xie, Z. Qin, G. Y. Li and B. -H. Juang, "Deep Learning Enabled Semantic Communication Systems," in IEEE Transactions on Signal Processing, vol. 69, pp. 2663-2675, 2021, doi: 10.1109/TSP.2021.3071210. </w:t>
            </w:r>
          </w:p>
          <w:p w14:paraId="77B058C5">
            <w:pPr>
              <w:keepNext w:val="0"/>
              <w:keepLines w:val="0"/>
              <w:pageBreakBefore w:val="0"/>
              <w:widowControl w:val="0"/>
              <w:numPr>
                <w:ilvl w:val="0"/>
                <w:numId w:val="8"/>
              </w:numPr>
              <w:kinsoku/>
              <w:wordWrap/>
              <w:overflowPunct/>
              <w:topLinePunct w:val="0"/>
              <w:autoSpaceDE/>
              <w:autoSpaceDN/>
              <w:bidi w:val="0"/>
              <w:adjustRightInd/>
              <w:snapToGrid w:val="0"/>
              <w:spacing w:line="360" w:lineRule="auto"/>
              <w:ind w:left="0" w:hanging="480" w:hangingChars="200"/>
              <w:textAlignment w:val="auto"/>
              <w:rPr>
                <w:rFonts w:eastAsiaTheme="minorEastAsia"/>
                <w:bCs/>
                <w:sz w:val="24"/>
              </w:rPr>
            </w:pPr>
            <w:r>
              <w:rPr>
                <w:rFonts w:eastAsiaTheme="minorEastAsia"/>
                <w:bCs/>
                <w:sz w:val="24"/>
              </w:rPr>
              <w:t>Qin, Zhijin et al. “Semantic Communications: Principles and</w:t>
            </w:r>
            <w:r>
              <w:rPr>
                <w:rFonts w:hint="eastAsia" w:eastAsiaTheme="minorEastAsia"/>
                <w:bCs/>
                <w:sz w:val="24"/>
                <w:lang w:val="en-US" w:eastAsia="zh-CN"/>
              </w:rPr>
              <w:t xml:space="preserve"> </w:t>
            </w:r>
            <w:r>
              <w:rPr>
                <w:rFonts w:eastAsiaTheme="minorEastAsia"/>
                <w:bCs/>
                <w:sz w:val="24"/>
              </w:rPr>
              <w:t>Challenges.”</w:t>
            </w:r>
            <w:r>
              <w:rPr>
                <w:rFonts w:hint="default" w:eastAsiaTheme="minorEastAsia"/>
                <w:bCs/>
                <w:sz w:val="24"/>
              </w:rPr>
              <w:t> ArXiv abs/2201.01389 (2021): n. pag.</w:t>
            </w:r>
          </w:p>
          <w:p w14:paraId="57C78330">
            <w:pPr>
              <w:keepNext w:val="0"/>
              <w:keepLines w:val="0"/>
              <w:pageBreakBefore w:val="0"/>
              <w:widowControl w:val="0"/>
              <w:numPr>
                <w:ilvl w:val="0"/>
                <w:numId w:val="8"/>
              </w:numPr>
              <w:kinsoku/>
              <w:wordWrap/>
              <w:overflowPunct/>
              <w:topLinePunct w:val="0"/>
              <w:autoSpaceDE/>
              <w:autoSpaceDN/>
              <w:bidi w:val="0"/>
              <w:adjustRightInd/>
              <w:snapToGrid w:val="0"/>
              <w:spacing w:line="360" w:lineRule="auto"/>
              <w:ind w:left="0" w:hanging="480" w:hangingChars="200"/>
              <w:textAlignment w:val="auto"/>
              <w:rPr>
                <w:rFonts w:eastAsiaTheme="minorEastAsia"/>
                <w:bCs/>
                <w:sz w:val="24"/>
              </w:rPr>
            </w:pPr>
            <w:r>
              <w:rPr>
                <w:rFonts w:eastAsiaTheme="minorEastAsia"/>
                <w:bCs/>
                <w:sz w:val="24"/>
              </w:rPr>
              <w:t>E. Bourtsoulatze, D. Burth Kurka and D. Gündüz, "Deep Joint Source-Channel Coding for Wireless Image Transmission," in</w:t>
            </w:r>
            <w:r>
              <w:rPr>
                <w:rFonts w:hint="default" w:eastAsiaTheme="minorEastAsia"/>
                <w:bCs/>
                <w:sz w:val="24"/>
              </w:rPr>
              <w:t> IEEE Transactions on Cognitive Communications and Networking, vol. 5, no. 3, pp. 567-579, Sept. 2019, doi: 10.1109/TCCN.2019.2919300.</w:t>
            </w:r>
          </w:p>
          <w:p w14:paraId="1820F04B">
            <w:pPr>
              <w:keepNext w:val="0"/>
              <w:keepLines w:val="0"/>
              <w:pageBreakBefore w:val="0"/>
              <w:widowControl w:val="0"/>
              <w:numPr>
                <w:ilvl w:val="0"/>
                <w:numId w:val="8"/>
              </w:numPr>
              <w:kinsoku/>
              <w:wordWrap/>
              <w:overflowPunct/>
              <w:topLinePunct w:val="0"/>
              <w:autoSpaceDE/>
              <w:autoSpaceDN/>
              <w:bidi w:val="0"/>
              <w:adjustRightInd/>
              <w:snapToGrid w:val="0"/>
              <w:spacing w:line="360" w:lineRule="auto"/>
              <w:ind w:left="0" w:hanging="480" w:hangingChars="200"/>
              <w:textAlignment w:val="auto"/>
              <w:rPr>
                <w:rFonts w:eastAsiaTheme="minorEastAsia"/>
                <w:bCs/>
                <w:sz w:val="24"/>
              </w:rPr>
            </w:pPr>
            <w:r>
              <w:rPr>
                <w:rFonts w:eastAsiaTheme="minorEastAsia"/>
                <w:bCs/>
                <w:sz w:val="24"/>
              </w:rPr>
              <w:t>Pytorch.</w:t>
            </w:r>
            <w:r>
              <w:rPr>
                <w:rFonts w:hint="eastAsia" w:eastAsiaTheme="minorEastAsia"/>
                <w:bCs/>
                <w:sz w:val="24"/>
                <w:lang w:val="en-US" w:eastAsia="zh-CN"/>
              </w:rPr>
              <w:t xml:space="preserve"> </w:t>
            </w:r>
            <w:r>
              <w:rPr>
                <w:rFonts w:eastAsiaTheme="minorEastAsia"/>
                <w:bCs/>
                <w:sz w:val="24"/>
              </w:rPr>
              <w:t>PyTorch Documentation and Tutorials [EB/OL].</w:t>
            </w:r>
            <w:r>
              <w:rPr>
                <w:rFonts w:hint="eastAsia" w:eastAsiaTheme="minorEastAsia"/>
                <w:bCs/>
                <w:sz w:val="24"/>
                <w:lang w:val="en-US" w:eastAsia="zh-CN"/>
              </w:rPr>
              <w:t xml:space="preserve"> </w:t>
            </w:r>
            <w:r>
              <w:rPr>
                <w:rFonts w:eastAsiaTheme="minorEastAsia"/>
                <w:bCs/>
                <w:sz w:val="24"/>
              </w:rPr>
              <w:fldChar w:fldCharType="begin"/>
            </w:r>
            <w:r>
              <w:rPr>
                <w:rFonts w:eastAsiaTheme="minorEastAsia"/>
                <w:bCs/>
                <w:sz w:val="24"/>
              </w:rPr>
              <w:instrText xml:space="preserve"> HYPERLINK "https://pytorch.org/docs/stable/index.html" \t "_blank" </w:instrText>
            </w:r>
            <w:r>
              <w:rPr>
                <w:rFonts w:eastAsiaTheme="minorEastAsia"/>
                <w:bCs/>
                <w:sz w:val="24"/>
              </w:rPr>
              <w:fldChar w:fldCharType="separate"/>
            </w:r>
            <w:r>
              <w:rPr>
                <w:rFonts w:eastAsiaTheme="minorEastAsia"/>
                <w:bCs/>
                <w:sz w:val="24"/>
              </w:rPr>
              <w:t>https://pytorch.org/docs/stable/index.html</w:t>
            </w:r>
            <w:r>
              <w:rPr>
                <w:rFonts w:eastAsiaTheme="minorEastAsia"/>
                <w:bCs/>
                <w:sz w:val="24"/>
              </w:rPr>
              <w:fldChar w:fldCharType="end"/>
            </w:r>
            <w:r>
              <w:rPr>
                <w:rFonts w:eastAsiaTheme="minorEastAsia"/>
                <w:bCs/>
                <w:sz w:val="24"/>
              </w:rPr>
              <w:t>.</w:t>
            </w:r>
          </w:p>
        </w:tc>
      </w:tr>
      <w:tr w14:paraId="2D1E75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3" w:hRule="atLeast"/>
        </w:trPr>
        <w:tc>
          <w:tcPr>
            <w:tcW w:w="8955" w:type="dxa"/>
            <w:gridSpan w:val="5"/>
          </w:tcPr>
          <w:tbl>
            <w:tblPr>
              <w:tblStyle w:val="3"/>
              <w:tblW w:w="4450" w:type="dxa"/>
              <w:jc w:val="right"/>
              <w:tblLayout w:type="fixed"/>
              <w:tblCellMar>
                <w:top w:w="0" w:type="dxa"/>
                <w:left w:w="108" w:type="dxa"/>
                <w:bottom w:w="0" w:type="dxa"/>
                <w:right w:w="108" w:type="dxa"/>
              </w:tblCellMar>
            </w:tblPr>
            <w:tblGrid>
              <w:gridCol w:w="1908"/>
              <w:gridCol w:w="2542"/>
            </w:tblGrid>
            <w:tr w14:paraId="527AE306">
              <w:tblPrEx>
                <w:tblCellMar>
                  <w:top w:w="0" w:type="dxa"/>
                  <w:left w:w="108" w:type="dxa"/>
                  <w:bottom w:w="0" w:type="dxa"/>
                  <w:right w:w="108" w:type="dxa"/>
                </w:tblCellMar>
              </w:tblPrEx>
              <w:trPr>
                <w:trHeight w:val="581" w:hRule="atLeast"/>
                <w:jc w:val="right"/>
              </w:trPr>
              <w:tc>
                <w:tcPr>
                  <w:tcW w:w="1908" w:type="dxa"/>
                  <w:vAlign w:val="bottom"/>
                </w:tcPr>
                <w:p w14:paraId="6018BE50">
                  <w:pPr>
                    <w:spacing w:line="300" w:lineRule="auto"/>
                    <w:rPr>
                      <w:b/>
                      <w:color w:val="333333"/>
                      <w:sz w:val="24"/>
                    </w:rPr>
                  </w:pPr>
                  <w:r>
                    <w:rPr>
                      <w:b/>
                      <w:color w:val="333333"/>
                      <w:sz w:val="24"/>
                    </w:rPr>
                    <w:t>指导教师签字：</w:t>
                  </w:r>
                </w:p>
              </w:tc>
              <w:tc>
                <w:tcPr>
                  <w:tcW w:w="2542" w:type="dxa"/>
                  <w:tcBorders>
                    <w:bottom w:val="single" w:color="auto" w:sz="4" w:space="0"/>
                  </w:tcBorders>
                  <w:vAlign w:val="bottom"/>
                </w:tcPr>
                <w:p w14:paraId="75D70998">
                  <w:pPr>
                    <w:spacing w:line="300" w:lineRule="auto"/>
                    <w:rPr>
                      <w:b/>
                      <w:color w:val="333333"/>
                      <w:sz w:val="24"/>
                    </w:rPr>
                  </w:pPr>
                </w:p>
              </w:tc>
            </w:tr>
          </w:tbl>
          <w:p w14:paraId="5DD8354C">
            <w:pPr>
              <w:spacing w:before="100" w:beforeAutospacing="1" w:after="100" w:afterAutospacing="1"/>
              <w:ind w:firstLine="4587" w:firstLineChars="1904"/>
              <w:rPr>
                <w:b/>
                <w:color w:val="333333"/>
                <w:sz w:val="24"/>
              </w:rPr>
            </w:pPr>
            <w:r>
              <w:rPr>
                <w:b/>
                <w:color w:val="333333"/>
                <w:sz w:val="24"/>
              </w:rPr>
              <w:t>（校外加盖公章）</w:t>
            </w:r>
          </w:p>
          <w:tbl>
            <w:tblPr>
              <w:tblStyle w:val="3"/>
              <w:tblW w:w="3832" w:type="dxa"/>
              <w:jc w:val="right"/>
              <w:tblLayout w:type="fixed"/>
              <w:tblCellMar>
                <w:top w:w="0" w:type="dxa"/>
                <w:left w:w="108" w:type="dxa"/>
                <w:bottom w:w="0" w:type="dxa"/>
                <w:right w:w="108" w:type="dxa"/>
              </w:tblCellMar>
            </w:tblPr>
            <w:tblGrid>
              <w:gridCol w:w="927"/>
              <w:gridCol w:w="581"/>
              <w:gridCol w:w="581"/>
              <w:gridCol w:w="581"/>
              <w:gridCol w:w="581"/>
              <w:gridCol w:w="581"/>
            </w:tblGrid>
            <w:tr w14:paraId="2DB57BA4">
              <w:tblPrEx>
                <w:tblCellMar>
                  <w:top w:w="0" w:type="dxa"/>
                  <w:left w:w="108" w:type="dxa"/>
                  <w:bottom w:w="0" w:type="dxa"/>
                  <w:right w:w="108" w:type="dxa"/>
                </w:tblCellMar>
              </w:tblPrEx>
              <w:trPr>
                <w:trHeight w:val="581" w:hRule="atLeast"/>
                <w:jc w:val="right"/>
              </w:trPr>
              <w:tc>
                <w:tcPr>
                  <w:tcW w:w="927" w:type="dxa"/>
                  <w:tcBorders>
                    <w:bottom w:val="single" w:color="auto" w:sz="4" w:space="0"/>
                  </w:tcBorders>
                  <w:vAlign w:val="bottom"/>
                </w:tcPr>
                <w:p w14:paraId="228EA55D">
                  <w:pPr>
                    <w:spacing w:line="300" w:lineRule="auto"/>
                    <w:jc w:val="center"/>
                    <w:rPr>
                      <w:b/>
                      <w:color w:val="333333"/>
                      <w:sz w:val="24"/>
                    </w:rPr>
                  </w:pPr>
                  <w:r>
                    <w:rPr>
                      <w:rFonts w:hint="eastAsia"/>
                      <w:b/>
                      <w:color w:val="333333"/>
                      <w:sz w:val="24"/>
                    </w:rPr>
                    <w:t>2</w:t>
                  </w:r>
                  <w:r>
                    <w:rPr>
                      <w:b/>
                      <w:color w:val="333333"/>
                      <w:sz w:val="24"/>
                    </w:rPr>
                    <w:t>022</w:t>
                  </w:r>
                </w:p>
              </w:tc>
              <w:tc>
                <w:tcPr>
                  <w:tcW w:w="581" w:type="dxa"/>
                  <w:vAlign w:val="bottom"/>
                </w:tcPr>
                <w:p w14:paraId="77412B8C">
                  <w:pPr>
                    <w:spacing w:line="300" w:lineRule="auto"/>
                    <w:jc w:val="center"/>
                    <w:rPr>
                      <w:b/>
                      <w:color w:val="333333"/>
                      <w:sz w:val="24"/>
                    </w:rPr>
                  </w:pPr>
                  <w:r>
                    <w:rPr>
                      <w:b/>
                      <w:color w:val="333333"/>
                      <w:sz w:val="24"/>
                    </w:rPr>
                    <w:t>年</w:t>
                  </w:r>
                </w:p>
              </w:tc>
              <w:tc>
                <w:tcPr>
                  <w:tcW w:w="581" w:type="dxa"/>
                  <w:tcBorders>
                    <w:bottom w:val="single" w:color="auto" w:sz="4" w:space="0"/>
                  </w:tcBorders>
                  <w:vAlign w:val="bottom"/>
                </w:tcPr>
                <w:p w14:paraId="185B8BC2">
                  <w:pPr>
                    <w:spacing w:line="300" w:lineRule="auto"/>
                    <w:jc w:val="center"/>
                    <w:rPr>
                      <w:b/>
                      <w:color w:val="333333"/>
                      <w:sz w:val="24"/>
                    </w:rPr>
                  </w:pPr>
                  <w:r>
                    <w:rPr>
                      <w:rFonts w:hint="eastAsia"/>
                      <w:b/>
                      <w:color w:val="333333"/>
                      <w:sz w:val="24"/>
                    </w:rPr>
                    <w:t>1</w:t>
                  </w:r>
                  <w:r>
                    <w:rPr>
                      <w:b/>
                      <w:color w:val="333333"/>
                      <w:sz w:val="24"/>
                    </w:rPr>
                    <w:t>2</w:t>
                  </w:r>
                </w:p>
              </w:tc>
              <w:tc>
                <w:tcPr>
                  <w:tcW w:w="581" w:type="dxa"/>
                  <w:vAlign w:val="bottom"/>
                </w:tcPr>
                <w:p w14:paraId="047699DA">
                  <w:pPr>
                    <w:spacing w:line="300" w:lineRule="auto"/>
                    <w:jc w:val="center"/>
                    <w:rPr>
                      <w:b/>
                      <w:color w:val="333333"/>
                      <w:sz w:val="24"/>
                    </w:rPr>
                  </w:pPr>
                  <w:r>
                    <w:rPr>
                      <w:b/>
                      <w:color w:val="333333"/>
                      <w:sz w:val="24"/>
                    </w:rPr>
                    <w:t>月</w:t>
                  </w:r>
                </w:p>
              </w:tc>
              <w:tc>
                <w:tcPr>
                  <w:tcW w:w="581" w:type="dxa"/>
                  <w:tcBorders>
                    <w:bottom w:val="single" w:color="auto" w:sz="4" w:space="0"/>
                  </w:tcBorders>
                  <w:vAlign w:val="bottom"/>
                </w:tcPr>
                <w:p w14:paraId="15B18978">
                  <w:pPr>
                    <w:spacing w:line="300" w:lineRule="auto"/>
                    <w:jc w:val="center"/>
                    <w:rPr>
                      <w:b/>
                      <w:color w:val="333333"/>
                      <w:sz w:val="24"/>
                    </w:rPr>
                  </w:pPr>
                  <w:r>
                    <w:rPr>
                      <w:rFonts w:hint="eastAsia"/>
                      <w:b/>
                      <w:color w:val="333333"/>
                      <w:sz w:val="24"/>
                    </w:rPr>
                    <w:t>0</w:t>
                  </w:r>
                  <w:r>
                    <w:rPr>
                      <w:b/>
                      <w:color w:val="333333"/>
                      <w:sz w:val="24"/>
                    </w:rPr>
                    <w:t>2</w:t>
                  </w:r>
                </w:p>
              </w:tc>
              <w:tc>
                <w:tcPr>
                  <w:tcW w:w="581" w:type="dxa"/>
                  <w:vAlign w:val="bottom"/>
                </w:tcPr>
                <w:p w14:paraId="45E99EEB">
                  <w:pPr>
                    <w:spacing w:line="300" w:lineRule="auto"/>
                    <w:jc w:val="center"/>
                    <w:rPr>
                      <w:b/>
                      <w:color w:val="333333"/>
                      <w:sz w:val="24"/>
                    </w:rPr>
                  </w:pPr>
                  <w:r>
                    <w:rPr>
                      <w:b/>
                      <w:color w:val="333333"/>
                      <w:sz w:val="24"/>
                    </w:rPr>
                    <w:t>日</w:t>
                  </w:r>
                </w:p>
              </w:tc>
            </w:tr>
          </w:tbl>
          <w:p w14:paraId="479705D8">
            <w:pPr>
              <w:spacing w:before="100" w:beforeAutospacing="1" w:after="100" w:afterAutospacing="1"/>
              <w:ind w:firstLine="732" w:firstLineChars="304"/>
              <w:rPr>
                <w:b/>
                <w:color w:val="333333"/>
                <w:sz w:val="24"/>
              </w:rPr>
            </w:pPr>
          </w:p>
        </w:tc>
      </w:tr>
      <w:tr w14:paraId="287785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6" w:hRule="atLeast"/>
        </w:trPr>
        <w:tc>
          <w:tcPr>
            <w:tcW w:w="4471" w:type="dxa"/>
            <w:gridSpan w:val="2"/>
          </w:tcPr>
          <w:p w14:paraId="1618950C">
            <w:pPr>
              <w:rPr>
                <w:rFonts w:eastAsiaTheme="minorEastAsia"/>
                <w:sz w:val="24"/>
              </w:rPr>
            </w:pPr>
            <w:r>
              <w:rPr>
                <w:rFonts w:eastAsiaTheme="minorEastAsia"/>
                <w:sz w:val="24"/>
              </w:rPr>
              <w:t>专业负责人意见：</w:t>
            </w:r>
          </w:p>
          <w:p w14:paraId="183D384A">
            <w:pPr>
              <w:rPr>
                <w:rFonts w:eastAsiaTheme="minorEastAsia"/>
                <w:sz w:val="24"/>
              </w:rPr>
            </w:pPr>
          </w:p>
          <w:p w14:paraId="75E2766D">
            <w:pPr>
              <w:spacing w:line="360" w:lineRule="auto"/>
              <w:ind w:firstLine="480"/>
              <w:rPr>
                <w:rFonts w:eastAsiaTheme="minorEastAsia"/>
                <w:sz w:val="24"/>
              </w:rPr>
            </w:pPr>
            <w:r>
              <w:rPr>
                <w:rFonts w:eastAsiaTheme="minorEastAsia"/>
                <w:sz w:val="24"/>
              </w:rPr>
              <w:t>□同意立题</w:t>
            </w:r>
          </w:p>
          <w:p w14:paraId="6CABA33E">
            <w:pPr>
              <w:spacing w:line="360" w:lineRule="auto"/>
              <w:ind w:firstLine="480"/>
              <w:rPr>
                <w:rFonts w:eastAsiaTheme="minorEastAsia"/>
                <w:sz w:val="24"/>
              </w:rPr>
            </w:pPr>
            <w:r>
              <w:rPr>
                <w:rFonts w:eastAsiaTheme="minorEastAsia"/>
                <w:sz w:val="24"/>
              </w:rPr>
              <w:t>□不同意立题</w:t>
            </w:r>
          </w:p>
          <w:p w14:paraId="1CAEB385">
            <w:pPr>
              <w:ind w:firstLine="480"/>
              <w:rPr>
                <w:rFonts w:eastAsiaTheme="minorEastAsia"/>
                <w:sz w:val="24"/>
              </w:rPr>
            </w:pPr>
          </w:p>
          <w:p w14:paraId="1EE4CE8D">
            <w:pPr>
              <w:ind w:firstLine="480"/>
              <w:rPr>
                <w:rFonts w:eastAsiaTheme="minorEastAsia"/>
                <w:sz w:val="24"/>
              </w:rPr>
            </w:pPr>
          </w:p>
          <w:tbl>
            <w:tblPr>
              <w:tblStyle w:val="3"/>
              <w:tblW w:w="3686" w:type="dxa"/>
              <w:jc w:val="right"/>
              <w:tblLayout w:type="fixed"/>
              <w:tblCellMar>
                <w:top w:w="0" w:type="dxa"/>
                <w:left w:w="108" w:type="dxa"/>
                <w:bottom w:w="0" w:type="dxa"/>
                <w:right w:w="108" w:type="dxa"/>
              </w:tblCellMar>
            </w:tblPr>
            <w:tblGrid>
              <w:gridCol w:w="1132"/>
              <w:gridCol w:w="510"/>
              <w:gridCol w:w="510"/>
              <w:gridCol w:w="510"/>
              <w:gridCol w:w="510"/>
              <w:gridCol w:w="514"/>
            </w:tblGrid>
            <w:tr w14:paraId="04CB7925">
              <w:tblPrEx>
                <w:tblCellMar>
                  <w:top w:w="0" w:type="dxa"/>
                  <w:left w:w="108" w:type="dxa"/>
                  <w:bottom w:w="0" w:type="dxa"/>
                  <w:right w:w="108" w:type="dxa"/>
                </w:tblCellMar>
              </w:tblPrEx>
              <w:trPr>
                <w:trHeight w:val="578" w:hRule="atLeast"/>
                <w:jc w:val="right"/>
              </w:trPr>
              <w:tc>
                <w:tcPr>
                  <w:tcW w:w="1642" w:type="dxa"/>
                  <w:gridSpan w:val="2"/>
                  <w:tcMar>
                    <w:top w:w="0" w:type="dxa"/>
                    <w:left w:w="0" w:type="dxa"/>
                    <w:bottom w:w="0" w:type="dxa"/>
                    <w:right w:w="0" w:type="dxa"/>
                  </w:tcMar>
                  <w:vAlign w:val="bottom"/>
                </w:tcPr>
                <w:p w14:paraId="48066391">
                  <w:pPr>
                    <w:jc w:val="center"/>
                    <w:rPr>
                      <w:rFonts w:eastAsiaTheme="minorEastAsia"/>
                      <w:sz w:val="24"/>
                    </w:rPr>
                  </w:pPr>
                  <w:r>
                    <w:rPr>
                      <w:rFonts w:eastAsiaTheme="minorEastAsia"/>
                      <w:sz w:val="24"/>
                    </w:rPr>
                    <w:t>负责人</w:t>
                  </w:r>
                  <w:r>
                    <w:rPr>
                      <w:kern w:val="0"/>
                      <w:sz w:val="24"/>
                    </w:rPr>
                    <w:t>签章：</w:t>
                  </w:r>
                </w:p>
              </w:tc>
              <w:tc>
                <w:tcPr>
                  <w:tcW w:w="2044" w:type="dxa"/>
                  <w:gridSpan w:val="4"/>
                  <w:tcBorders>
                    <w:bottom w:val="single" w:color="auto" w:sz="4" w:space="0"/>
                  </w:tcBorders>
                  <w:tcMar>
                    <w:top w:w="0" w:type="dxa"/>
                    <w:left w:w="0" w:type="dxa"/>
                    <w:bottom w:w="0" w:type="dxa"/>
                    <w:right w:w="0" w:type="dxa"/>
                  </w:tcMar>
                  <w:vAlign w:val="bottom"/>
                </w:tcPr>
                <w:p w14:paraId="0608D0CD">
                  <w:pPr>
                    <w:jc w:val="center"/>
                    <w:rPr>
                      <w:rFonts w:eastAsiaTheme="minorEastAsia"/>
                      <w:sz w:val="24"/>
                    </w:rPr>
                  </w:pPr>
                </w:p>
              </w:tc>
            </w:tr>
            <w:tr w14:paraId="512298B2">
              <w:tblPrEx>
                <w:tblCellMar>
                  <w:top w:w="0" w:type="dxa"/>
                  <w:left w:w="108" w:type="dxa"/>
                  <w:bottom w:w="0" w:type="dxa"/>
                  <w:right w:w="108" w:type="dxa"/>
                </w:tblCellMar>
              </w:tblPrEx>
              <w:trPr>
                <w:trHeight w:val="578" w:hRule="atLeast"/>
                <w:jc w:val="right"/>
              </w:trPr>
              <w:tc>
                <w:tcPr>
                  <w:tcW w:w="1132" w:type="dxa"/>
                  <w:tcBorders>
                    <w:bottom w:val="single" w:color="auto" w:sz="4" w:space="0"/>
                  </w:tcBorders>
                  <w:tcMar>
                    <w:top w:w="0" w:type="dxa"/>
                    <w:left w:w="0" w:type="dxa"/>
                    <w:bottom w:w="0" w:type="dxa"/>
                    <w:right w:w="0" w:type="dxa"/>
                  </w:tcMar>
                  <w:vAlign w:val="bottom"/>
                </w:tcPr>
                <w:p w14:paraId="7BC59ADD">
                  <w:pPr>
                    <w:jc w:val="center"/>
                    <w:rPr>
                      <w:rFonts w:eastAsiaTheme="minorEastAsia"/>
                      <w:sz w:val="24"/>
                    </w:rPr>
                  </w:pPr>
                  <w:r>
                    <w:rPr>
                      <w:rFonts w:hint="eastAsia" w:eastAsiaTheme="minorEastAsia"/>
                      <w:sz w:val="24"/>
                    </w:rPr>
                    <w:t>2</w:t>
                  </w:r>
                  <w:r>
                    <w:rPr>
                      <w:rFonts w:eastAsiaTheme="minorEastAsia"/>
                      <w:sz w:val="24"/>
                    </w:rPr>
                    <w:t>022</w:t>
                  </w:r>
                </w:p>
              </w:tc>
              <w:tc>
                <w:tcPr>
                  <w:tcW w:w="510" w:type="dxa"/>
                  <w:tcMar>
                    <w:top w:w="0" w:type="dxa"/>
                    <w:left w:w="0" w:type="dxa"/>
                    <w:bottom w:w="0" w:type="dxa"/>
                    <w:right w:w="0" w:type="dxa"/>
                  </w:tcMar>
                  <w:vAlign w:val="bottom"/>
                </w:tcPr>
                <w:p w14:paraId="67B32FB3">
                  <w:pPr>
                    <w:jc w:val="center"/>
                    <w:rPr>
                      <w:rFonts w:eastAsiaTheme="minorEastAsia"/>
                      <w:sz w:val="24"/>
                    </w:rPr>
                  </w:pPr>
                  <w:r>
                    <w:rPr>
                      <w:rFonts w:eastAsiaTheme="minorEastAsia"/>
                      <w:sz w:val="24"/>
                    </w:rPr>
                    <w:t>年</w:t>
                  </w:r>
                </w:p>
              </w:tc>
              <w:tc>
                <w:tcPr>
                  <w:tcW w:w="510" w:type="dxa"/>
                  <w:tcBorders>
                    <w:top w:val="single" w:color="auto" w:sz="4" w:space="0"/>
                    <w:bottom w:val="single" w:color="auto" w:sz="4" w:space="0"/>
                  </w:tcBorders>
                  <w:tcMar>
                    <w:top w:w="0" w:type="dxa"/>
                    <w:left w:w="0" w:type="dxa"/>
                    <w:bottom w:w="0" w:type="dxa"/>
                    <w:right w:w="0" w:type="dxa"/>
                  </w:tcMar>
                  <w:vAlign w:val="bottom"/>
                </w:tcPr>
                <w:p w14:paraId="0A929B76">
                  <w:pPr>
                    <w:jc w:val="center"/>
                    <w:rPr>
                      <w:rFonts w:eastAsiaTheme="minorEastAsia"/>
                      <w:sz w:val="24"/>
                    </w:rPr>
                  </w:pPr>
                  <w:r>
                    <w:rPr>
                      <w:rFonts w:hint="eastAsia" w:eastAsiaTheme="minorEastAsia"/>
                      <w:sz w:val="24"/>
                    </w:rPr>
                    <w:t>1</w:t>
                  </w:r>
                  <w:r>
                    <w:rPr>
                      <w:rFonts w:eastAsiaTheme="minorEastAsia"/>
                      <w:sz w:val="24"/>
                    </w:rPr>
                    <w:t>2</w:t>
                  </w:r>
                </w:p>
              </w:tc>
              <w:tc>
                <w:tcPr>
                  <w:tcW w:w="510" w:type="dxa"/>
                  <w:tcBorders>
                    <w:top w:val="single" w:color="auto" w:sz="4" w:space="0"/>
                  </w:tcBorders>
                  <w:tcMar>
                    <w:top w:w="0" w:type="dxa"/>
                    <w:left w:w="0" w:type="dxa"/>
                    <w:bottom w:w="0" w:type="dxa"/>
                    <w:right w:w="0" w:type="dxa"/>
                  </w:tcMar>
                  <w:vAlign w:val="bottom"/>
                </w:tcPr>
                <w:p w14:paraId="10B2E06C">
                  <w:pPr>
                    <w:jc w:val="center"/>
                    <w:rPr>
                      <w:rFonts w:eastAsiaTheme="minorEastAsia"/>
                      <w:sz w:val="24"/>
                    </w:rPr>
                  </w:pPr>
                  <w:r>
                    <w:rPr>
                      <w:rFonts w:eastAsiaTheme="minorEastAsia"/>
                      <w:sz w:val="24"/>
                    </w:rPr>
                    <w:t>月</w:t>
                  </w:r>
                </w:p>
              </w:tc>
              <w:tc>
                <w:tcPr>
                  <w:tcW w:w="510" w:type="dxa"/>
                  <w:tcBorders>
                    <w:top w:val="single" w:color="auto" w:sz="4" w:space="0"/>
                    <w:bottom w:val="single" w:color="auto" w:sz="4" w:space="0"/>
                  </w:tcBorders>
                  <w:tcMar>
                    <w:top w:w="0" w:type="dxa"/>
                    <w:left w:w="0" w:type="dxa"/>
                    <w:bottom w:w="0" w:type="dxa"/>
                    <w:right w:w="0" w:type="dxa"/>
                  </w:tcMar>
                  <w:vAlign w:val="bottom"/>
                </w:tcPr>
                <w:p w14:paraId="150E3522">
                  <w:pPr>
                    <w:jc w:val="center"/>
                    <w:rPr>
                      <w:rFonts w:eastAsiaTheme="minorEastAsia"/>
                      <w:sz w:val="24"/>
                    </w:rPr>
                  </w:pPr>
                  <w:r>
                    <w:rPr>
                      <w:rFonts w:hint="eastAsia" w:eastAsiaTheme="minorEastAsia"/>
                      <w:sz w:val="24"/>
                    </w:rPr>
                    <w:t>1</w:t>
                  </w:r>
                  <w:r>
                    <w:rPr>
                      <w:rFonts w:eastAsiaTheme="minorEastAsia"/>
                      <w:sz w:val="24"/>
                    </w:rPr>
                    <w:t>3</w:t>
                  </w:r>
                </w:p>
              </w:tc>
              <w:tc>
                <w:tcPr>
                  <w:tcW w:w="514" w:type="dxa"/>
                  <w:tcBorders>
                    <w:top w:val="single" w:color="auto" w:sz="4" w:space="0"/>
                  </w:tcBorders>
                  <w:tcMar>
                    <w:top w:w="0" w:type="dxa"/>
                    <w:left w:w="0" w:type="dxa"/>
                    <w:bottom w:w="0" w:type="dxa"/>
                    <w:right w:w="0" w:type="dxa"/>
                  </w:tcMar>
                  <w:vAlign w:val="bottom"/>
                </w:tcPr>
                <w:p w14:paraId="07A4706F">
                  <w:pPr>
                    <w:jc w:val="center"/>
                    <w:rPr>
                      <w:rFonts w:eastAsiaTheme="minorEastAsia"/>
                      <w:sz w:val="24"/>
                    </w:rPr>
                  </w:pPr>
                  <w:r>
                    <w:rPr>
                      <w:rFonts w:eastAsiaTheme="minorEastAsia"/>
                      <w:sz w:val="24"/>
                    </w:rPr>
                    <w:t>日</w:t>
                  </w:r>
                </w:p>
              </w:tc>
            </w:tr>
          </w:tbl>
          <w:p w14:paraId="74DB8703">
            <w:pPr>
              <w:rPr>
                <w:rFonts w:eastAsiaTheme="minorEastAsia"/>
                <w:sz w:val="24"/>
              </w:rPr>
            </w:pPr>
          </w:p>
        </w:tc>
        <w:tc>
          <w:tcPr>
            <w:tcW w:w="4484" w:type="dxa"/>
            <w:gridSpan w:val="3"/>
          </w:tcPr>
          <w:p w14:paraId="40844EC6">
            <w:pPr>
              <w:rPr>
                <w:rFonts w:eastAsiaTheme="minorEastAsia"/>
                <w:sz w:val="24"/>
              </w:rPr>
            </w:pPr>
            <w:r>
              <w:rPr>
                <w:rFonts w:eastAsiaTheme="minorEastAsia"/>
                <w:sz w:val="24"/>
              </w:rPr>
              <w:t>学院意见：</w:t>
            </w:r>
          </w:p>
          <w:p w14:paraId="7A7D2402">
            <w:pPr>
              <w:rPr>
                <w:rFonts w:eastAsiaTheme="minorEastAsia"/>
                <w:sz w:val="24"/>
              </w:rPr>
            </w:pPr>
          </w:p>
          <w:p w14:paraId="2F182C1F">
            <w:pPr>
              <w:spacing w:line="360" w:lineRule="auto"/>
              <w:ind w:firstLine="480"/>
              <w:rPr>
                <w:rFonts w:eastAsiaTheme="minorEastAsia"/>
                <w:sz w:val="24"/>
              </w:rPr>
            </w:pPr>
            <w:r>
              <w:rPr>
                <w:rFonts w:eastAsiaTheme="minorEastAsia"/>
                <w:sz w:val="24"/>
              </w:rPr>
              <w:t>□同意立题</w:t>
            </w:r>
          </w:p>
          <w:p w14:paraId="32B1DBF4">
            <w:pPr>
              <w:spacing w:line="360" w:lineRule="auto"/>
              <w:ind w:firstLine="480"/>
              <w:rPr>
                <w:rFonts w:eastAsiaTheme="minorEastAsia"/>
                <w:sz w:val="24"/>
              </w:rPr>
            </w:pPr>
            <w:r>
              <w:rPr>
                <w:rFonts w:eastAsiaTheme="minorEastAsia"/>
                <w:sz w:val="24"/>
              </w:rPr>
              <w:t>□不同意立题</w:t>
            </w:r>
          </w:p>
          <w:p w14:paraId="1204044D">
            <w:pPr>
              <w:ind w:firstLine="480"/>
              <w:rPr>
                <w:rFonts w:eastAsiaTheme="minorEastAsia"/>
                <w:sz w:val="24"/>
              </w:rPr>
            </w:pPr>
          </w:p>
          <w:p w14:paraId="25164DD7">
            <w:pPr>
              <w:ind w:firstLine="480"/>
              <w:rPr>
                <w:rFonts w:eastAsiaTheme="minorEastAsia"/>
                <w:sz w:val="24"/>
              </w:rPr>
            </w:pPr>
          </w:p>
          <w:tbl>
            <w:tblPr>
              <w:tblStyle w:val="3"/>
              <w:tblW w:w="3686" w:type="dxa"/>
              <w:jc w:val="right"/>
              <w:tblLayout w:type="fixed"/>
              <w:tblCellMar>
                <w:top w:w="0" w:type="dxa"/>
                <w:left w:w="108" w:type="dxa"/>
                <w:bottom w:w="0" w:type="dxa"/>
                <w:right w:w="108" w:type="dxa"/>
              </w:tblCellMar>
            </w:tblPr>
            <w:tblGrid>
              <w:gridCol w:w="1132"/>
              <w:gridCol w:w="510"/>
              <w:gridCol w:w="510"/>
              <w:gridCol w:w="510"/>
              <w:gridCol w:w="510"/>
              <w:gridCol w:w="514"/>
            </w:tblGrid>
            <w:tr w14:paraId="1657A48C">
              <w:tblPrEx>
                <w:tblCellMar>
                  <w:top w:w="0" w:type="dxa"/>
                  <w:left w:w="108" w:type="dxa"/>
                  <w:bottom w:w="0" w:type="dxa"/>
                  <w:right w:w="108" w:type="dxa"/>
                </w:tblCellMar>
              </w:tblPrEx>
              <w:trPr>
                <w:trHeight w:val="578" w:hRule="atLeast"/>
                <w:jc w:val="right"/>
              </w:trPr>
              <w:tc>
                <w:tcPr>
                  <w:tcW w:w="1642" w:type="dxa"/>
                  <w:gridSpan w:val="2"/>
                  <w:tcMar>
                    <w:top w:w="0" w:type="dxa"/>
                    <w:left w:w="0" w:type="dxa"/>
                    <w:bottom w:w="0" w:type="dxa"/>
                    <w:right w:w="0" w:type="dxa"/>
                  </w:tcMar>
                  <w:vAlign w:val="bottom"/>
                </w:tcPr>
                <w:p w14:paraId="61E46FC9">
                  <w:pPr>
                    <w:jc w:val="center"/>
                    <w:rPr>
                      <w:rFonts w:eastAsiaTheme="minorEastAsia"/>
                      <w:sz w:val="24"/>
                    </w:rPr>
                  </w:pPr>
                  <w:r>
                    <w:rPr>
                      <w:rFonts w:eastAsiaTheme="minorEastAsia"/>
                      <w:sz w:val="24"/>
                    </w:rPr>
                    <w:t>负责人</w:t>
                  </w:r>
                  <w:r>
                    <w:rPr>
                      <w:kern w:val="0"/>
                      <w:sz w:val="24"/>
                    </w:rPr>
                    <w:t>签章：</w:t>
                  </w:r>
                </w:p>
              </w:tc>
              <w:tc>
                <w:tcPr>
                  <w:tcW w:w="2044" w:type="dxa"/>
                  <w:gridSpan w:val="4"/>
                  <w:tcBorders>
                    <w:bottom w:val="single" w:color="auto" w:sz="4" w:space="0"/>
                  </w:tcBorders>
                  <w:tcMar>
                    <w:top w:w="0" w:type="dxa"/>
                    <w:left w:w="0" w:type="dxa"/>
                    <w:bottom w:w="0" w:type="dxa"/>
                    <w:right w:w="0" w:type="dxa"/>
                  </w:tcMar>
                  <w:vAlign w:val="bottom"/>
                </w:tcPr>
                <w:p w14:paraId="4489B21A">
                  <w:pPr>
                    <w:jc w:val="center"/>
                    <w:rPr>
                      <w:rFonts w:eastAsiaTheme="minorEastAsia"/>
                      <w:sz w:val="24"/>
                    </w:rPr>
                  </w:pPr>
                </w:p>
              </w:tc>
            </w:tr>
            <w:tr w14:paraId="367661EA">
              <w:tblPrEx>
                <w:tblCellMar>
                  <w:top w:w="0" w:type="dxa"/>
                  <w:left w:w="108" w:type="dxa"/>
                  <w:bottom w:w="0" w:type="dxa"/>
                  <w:right w:w="108" w:type="dxa"/>
                </w:tblCellMar>
              </w:tblPrEx>
              <w:trPr>
                <w:trHeight w:val="578" w:hRule="atLeast"/>
                <w:jc w:val="right"/>
              </w:trPr>
              <w:tc>
                <w:tcPr>
                  <w:tcW w:w="1132" w:type="dxa"/>
                  <w:tcBorders>
                    <w:bottom w:val="single" w:color="auto" w:sz="4" w:space="0"/>
                  </w:tcBorders>
                  <w:tcMar>
                    <w:top w:w="0" w:type="dxa"/>
                    <w:left w:w="0" w:type="dxa"/>
                    <w:bottom w:w="0" w:type="dxa"/>
                    <w:right w:w="0" w:type="dxa"/>
                  </w:tcMar>
                  <w:vAlign w:val="bottom"/>
                </w:tcPr>
                <w:p w14:paraId="376BEBEA">
                  <w:pPr>
                    <w:jc w:val="center"/>
                    <w:rPr>
                      <w:rFonts w:eastAsiaTheme="minorEastAsia"/>
                      <w:sz w:val="24"/>
                    </w:rPr>
                  </w:pPr>
                  <w:r>
                    <w:rPr>
                      <w:rFonts w:hint="eastAsia" w:eastAsiaTheme="minorEastAsia"/>
                      <w:sz w:val="24"/>
                    </w:rPr>
                    <w:t>2</w:t>
                  </w:r>
                  <w:r>
                    <w:rPr>
                      <w:rFonts w:eastAsiaTheme="minorEastAsia"/>
                      <w:sz w:val="24"/>
                    </w:rPr>
                    <w:t>022</w:t>
                  </w:r>
                </w:p>
              </w:tc>
              <w:tc>
                <w:tcPr>
                  <w:tcW w:w="510" w:type="dxa"/>
                  <w:tcMar>
                    <w:top w:w="0" w:type="dxa"/>
                    <w:left w:w="0" w:type="dxa"/>
                    <w:bottom w:w="0" w:type="dxa"/>
                    <w:right w:w="0" w:type="dxa"/>
                  </w:tcMar>
                  <w:vAlign w:val="bottom"/>
                </w:tcPr>
                <w:p w14:paraId="5CFC18CE">
                  <w:pPr>
                    <w:jc w:val="center"/>
                    <w:rPr>
                      <w:rFonts w:eastAsiaTheme="minorEastAsia"/>
                      <w:sz w:val="24"/>
                    </w:rPr>
                  </w:pPr>
                  <w:r>
                    <w:rPr>
                      <w:rFonts w:eastAsiaTheme="minorEastAsia"/>
                      <w:sz w:val="24"/>
                    </w:rPr>
                    <w:t>年</w:t>
                  </w:r>
                </w:p>
              </w:tc>
              <w:tc>
                <w:tcPr>
                  <w:tcW w:w="510" w:type="dxa"/>
                  <w:tcBorders>
                    <w:top w:val="single" w:color="auto" w:sz="4" w:space="0"/>
                    <w:bottom w:val="single" w:color="auto" w:sz="4" w:space="0"/>
                  </w:tcBorders>
                  <w:tcMar>
                    <w:top w:w="0" w:type="dxa"/>
                    <w:left w:w="0" w:type="dxa"/>
                    <w:bottom w:w="0" w:type="dxa"/>
                    <w:right w:w="0" w:type="dxa"/>
                  </w:tcMar>
                  <w:vAlign w:val="bottom"/>
                </w:tcPr>
                <w:p w14:paraId="75B45EF4">
                  <w:pPr>
                    <w:jc w:val="center"/>
                    <w:rPr>
                      <w:rFonts w:eastAsiaTheme="minorEastAsia"/>
                      <w:sz w:val="24"/>
                    </w:rPr>
                  </w:pPr>
                  <w:r>
                    <w:rPr>
                      <w:rFonts w:hint="eastAsia" w:eastAsiaTheme="minorEastAsia"/>
                      <w:sz w:val="24"/>
                    </w:rPr>
                    <w:t>1</w:t>
                  </w:r>
                  <w:r>
                    <w:rPr>
                      <w:rFonts w:eastAsiaTheme="minorEastAsia"/>
                      <w:sz w:val="24"/>
                    </w:rPr>
                    <w:t>2</w:t>
                  </w:r>
                </w:p>
              </w:tc>
              <w:tc>
                <w:tcPr>
                  <w:tcW w:w="510" w:type="dxa"/>
                  <w:tcBorders>
                    <w:top w:val="single" w:color="auto" w:sz="4" w:space="0"/>
                  </w:tcBorders>
                  <w:tcMar>
                    <w:top w:w="0" w:type="dxa"/>
                    <w:left w:w="0" w:type="dxa"/>
                    <w:bottom w:w="0" w:type="dxa"/>
                    <w:right w:w="0" w:type="dxa"/>
                  </w:tcMar>
                  <w:vAlign w:val="bottom"/>
                </w:tcPr>
                <w:p w14:paraId="131ADC40">
                  <w:pPr>
                    <w:jc w:val="center"/>
                    <w:rPr>
                      <w:rFonts w:eastAsiaTheme="minorEastAsia"/>
                      <w:sz w:val="24"/>
                    </w:rPr>
                  </w:pPr>
                  <w:r>
                    <w:rPr>
                      <w:rFonts w:eastAsiaTheme="minorEastAsia"/>
                      <w:sz w:val="24"/>
                    </w:rPr>
                    <w:t>月</w:t>
                  </w:r>
                </w:p>
              </w:tc>
              <w:tc>
                <w:tcPr>
                  <w:tcW w:w="510" w:type="dxa"/>
                  <w:tcBorders>
                    <w:top w:val="single" w:color="auto" w:sz="4" w:space="0"/>
                    <w:bottom w:val="single" w:color="auto" w:sz="4" w:space="0"/>
                  </w:tcBorders>
                  <w:tcMar>
                    <w:top w:w="0" w:type="dxa"/>
                    <w:left w:w="0" w:type="dxa"/>
                    <w:bottom w:w="0" w:type="dxa"/>
                    <w:right w:w="0" w:type="dxa"/>
                  </w:tcMar>
                  <w:vAlign w:val="bottom"/>
                </w:tcPr>
                <w:p w14:paraId="478DE593">
                  <w:pPr>
                    <w:jc w:val="center"/>
                    <w:rPr>
                      <w:rFonts w:eastAsiaTheme="minorEastAsia"/>
                      <w:sz w:val="24"/>
                    </w:rPr>
                  </w:pPr>
                  <w:r>
                    <w:rPr>
                      <w:rFonts w:hint="eastAsia" w:eastAsiaTheme="minorEastAsia"/>
                      <w:sz w:val="24"/>
                    </w:rPr>
                    <w:t>2</w:t>
                  </w:r>
                  <w:r>
                    <w:rPr>
                      <w:rFonts w:eastAsiaTheme="minorEastAsia"/>
                      <w:sz w:val="24"/>
                    </w:rPr>
                    <w:t>2</w:t>
                  </w:r>
                </w:p>
              </w:tc>
              <w:tc>
                <w:tcPr>
                  <w:tcW w:w="514" w:type="dxa"/>
                  <w:tcBorders>
                    <w:top w:val="single" w:color="auto" w:sz="4" w:space="0"/>
                  </w:tcBorders>
                  <w:tcMar>
                    <w:top w:w="0" w:type="dxa"/>
                    <w:left w:w="0" w:type="dxa"/>
                    <w:bottom w:w="0" w:type="dxa"/>
                    <w:right w:w="0" w:type="dxa"/>
                  </w:tcMar>
                  <w:vAlign w:val="bottom"/>
                </w:tcPr>
                <w:p w14:paraId="6153CA2A">
                  <w:pPr>
                    <w:jc w:val="center"/>
                    <w:rPr>
                      <w:rFonts w:eastAsiaTheme="minorEastAsia"/>
                      <w:sz w:val="24"/>
                    </w:rPr>
                  </w:pPr>
                  <w:r>
                    <w:rPr>
                      <w:rFonts w:eastAsiaTheme="minorEastAsia"/>
                      <w:sz w:val="24"/>
                    </w:rPr>
                    <w:t>日</w:t>
                  </w:r>
                </w:p>
              </w:tc>
            </w:tr>
          </w:tbl>
          <w:p w14:paraId="429E4223">
            <w:pPr>
              <w:rPr>
                <w:rFonts w:eastAsiaTheme="minorEastAsia"/>
                <w:sz w:val="24"/>
              </w:rPr>
            </w:pPr>
          </w:p>
        </w:tc>
      </w:tr>
    </w:tbl>
    <w:p w14:paraId="43807C6A">
      <w:pPr>
        <w:ind w:left="720" w:right="-193" w:rightChars="-92" w:hanging="720" w:hangingChars="300"/>
        <w:rPr>
          <w:sz w:val="24"/>
        </w:rPr>
      </w:pPr>
    </w:p>
    <w:p w14:paraId="67830F02"/>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1799FEE"/>
    <w:multiLevelType w:val="singleLevel"/>
    <w:tmpl w:val="91799FEE"/>
    <w:lvl w:ilvl="0" w:tentative="0">
      <w:start w:val="1"/>
      <w:numFmt w:val="decimal"/>
      <w:suff w:val="space"/>
      <w:lvlText w:val="%1."/>
      <w:lvlJc w:val="left"/>
    </w:lvl>
  </w:abstractNum>
  <w:abstractNum w:abstractNumId="1">
    <w:nsid w:val="9B5C7245"/>
    <w:multiLevelType w:val="singleLevel"/>
    <w:tmpl w:val="9B5C7245"/>
    <w:lvl w:ilvl="0" w:tentative="0">
      <w:start w:val="1"/>
      <w:numFmt w:val="decimal"/>
      <w:lvlText w:val="%1."/>
      <w:lvlJc w:val="left"/>
      <w:pPr>
        <w:tabs>
          <w:tab w:val="left" w:pos="312"/>
        </w:tabs>
      </w:pPr>
    </w:lvl>
  </w:abstractNum>
  <w:abstractNum w:abstractNumId="2">
    <w:nsid w:val="BC14A83E"/>
    <w:multiLevelType w:val="singleLevel"/>
    <w:tmpl w:val="BC14A83E"/>
    <w:lvl w:ilvl="0" w:tentative="0">
      <w:start w:val="1"/>
      <w:numFmt w:val="lowerLetter"/>
      <w:suff w:val="space"/>
      <w:lvlText w:val="%1)"/>
      <w:lvlJc w:val="left"/>
      <w:pPr>
        <w:ind w:left="-480"/>
      </w:pPr>
    </w:lvl>
  </w:abstractNum>
  <w:abstractNum w:abstractNumId="3">
    <w:nsid w:val="E2490398"/>
    <w:multiLevelType w:val="singleLevel"/>
    <w:tmpl w:val="E2490398"/>
    <w:lvl w:ilvl="0" w:tentative="0">
      <w:start w:val="1"/>
      <w:numFmt w:val="decimal"/>
      <w:suff w:val="space"/>
      <w:lvlText w:val="%1."/>
      <w:lvlJc w:val="left"/>
    </w:lvl>
  </w:abstractNum>
  <w:abstractNum w:abstractNumId="4">
    <w:nsid w:val="1570D032"/>
    <w:multiLevelType w:val="singleLevel"/>
    <w:tmpl w:val="1570D032"/>
    <w:lvl w:ilvl="0" w:tentative="0">
      <w:start w:val="1"/>
      <w:numFmt w:val="decimal"/>
      <w:suff w:val="space"/>
      <w:lvlText w:val="%1."/>
      <w:lvlJc w:val="left"/>
    </w:lvl>
  </w:abstractNum>
  <w:abstractNum w:abstractNumId="5">
    <w:nsid w:val="6B313D51"/>
    <w:multiLevelType w:val="singleLevel"/>
    <w:tmpl w:val="6B313D51"/>
    <w:lvl w:ilvl="0" w:tentative="0">
      <w:start w:val="1"/>
      <w:numFmt w:val="lowerLetter"/>
      <w:suff w:val="space"/>
      <w:lvlText w:val="%1)"/>
      <w:lvlJc w:val="left"/>
      <w:pPr>
        <w:ind w:left="-480"/>
      </w:pPr>
    </w:lvl>
  </w:abstractNum>
  <w:abstractNum w:abstractNumId="6">
    <w:nsid w:val="737E487E"/>
    <w:multiLevelType w:val="singleLevel"/>
    <w:tmpl w:val="737E487E"/>
    <w:lvl w:ilvl="0" w:tentative="0">
      <w:start w:val="1"/>
      <w:numFmt w:val="decimal"/>
      <w:suff w:val="space"/>
      <w:lvlText w:val="[%1]"/>
      <w:lvlJc w:val="left"/>
    </w:lvl>
  </w:abstractNum>
  <w:abstractNum w:abstractNumId="7">
    <w:nsid w:val="7A88795C"/>
    <w:multiLevelType w:val="singleLevel"/>
    <w:tmpl w:val="7A88795C"/>
    <w:lvl w:ilvl="0" w:tentative="0">
      <w:start w:val="1"/>
      <w:numFmt w:val="decimal"/>
      <w:suff w:val="space"/>
      <w:lvlText w:val="%1."/>
      <w:lvlJc w:val="left"/>
    </w:lvl>
  </w:abstractNum>
  <w:num w:numId="1">
    <w:abstractNumId w:val="5"/>
  </w:num>
  <w:num w:numId="2">
    <w:abstractNumId w:val="0"/>
  </w:num>
  <w:num w:numId="3">
    <w:abstractNumId w:val="7"/>
  </w:num>
  <w:num w:numId="4">
    <w:abstractNumId w:val="2"/>
  </w:num>
  <w:num w:numId="5">
    <w:abstractNumId w:val="1"/>
  </w:num>
  <w:num w:numId="6">
    <w:abstractNumId w:val="4"/>
  </w:num>
  <w:num w:numId="7">
    <w:abstractNumId w:val="3"/>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B3A2C39"/>
    <w:rsid w:val="00721942"/>
    <w:rsid w:val="08811D03"/>
    <w:rsid w:val="12A55086"/>
    <w:rsid w:val="12C92C36"/>
    <w:rsid w:val="195A5D27"/>
    <w:rsid w:val="2544286A"/>
    <w:rsid w:val="37022F00"/>
    <w:rsid w:val="5B3A2C39"/>
    <w:rsid w:val="6068690D"/>
    <w:rsid w:val="65770149"/>
    <w:rsid w:val="75011D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Emphasis"/>
    <w:basedOn w:val="4"/>
    <w:qFormat/>
    <w:uiPriority w:val="0"/>
    <w:rPr>
      <w:i/>
    </w:rPr>
  </w:style>
  <w:style w:type="character" w:styleId="6">
    <w:name w:val="Hyperlink"/>
    <w:basedOn w:val="4"/>
    <w:qFormat/>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1206</Words>
  <Characters>1851</Characters>
  <Lines>0</Lines>
  <Paragraphs>0</Paragraphs>
  <TotalTime>36</TotalTime>
  <ScaleCrop>false</ScaleCrop>
  <LinksUpToDate>false</LinksUpToDate>
  <CharactersWithSpaces>1957</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2025-11-17T08:30:00Z</dcterms:created>
  <dc:creator>晴空万里13664430728</dc:creator>
  <cp:lastModifiedBy>Zikboy</cp:lastModifiedBy>
  <dcterms:modified xsi:type="dcterms:W3CDTF">2025-11-26T03:02:17Z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226452B6848A448B9F1B9C568B536310_13</vt:lpwstr>
  </property>
  <property fmtid="{D5CDD505-2E9C-101B-9397-08002B2CF9AE}" pid="4" name="KSOTemplateDocerSaveRecord">
    <vt:lpwstr>eyJoZGlkIjoiYjU4NjU2ZWFkZDY2NDk2NDBlNmM1ZjU4NGVmNGJlMjEiLCJ1c2VySWQiOiIzMDY3NTkzMzUifQ==</vt:lpwstr>
  </property>
</Properties>
</file>