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61477" w14:textId="4F485E85" w:rsidR="002B421E" w:rsidRDefault="004110C3" w:rsidP="004110C3">
      <w:pPr>
        <w:jc w:val="center"/>
        <w:rPr>
          <w:b/>
          <w:bCs/>
          <w:i/>
          <w:iCs w:val="0"/>
          <w:sz w:val="48"/>
          <w:szCs w:val="48"/>
          <w:lang w:val="en-US"/>
        </w:rPr>
      </w:pPr>
      <w:r w:rsidRPr="004110C3">
        <w:rPr>
          <w:b/>
          <w:bCs/>
          <w:i/>
          <w:iCs w:val="0"/>
          <w:sz w:val="48"/>
          <w:szCs w:val="48"/>
          <w:lang w:val="en-US"/>
        </w:rPr>
        <w:t>Sales and Returns Analysis</w:t>
      </w:r>
      <w:r>
        <w:rPr>
          <w:b/>
          <w:bCs/>
          <w:i/>
          <w:iCs w:val="0"/>
          <w:sz w:val="48"/>
          <w:szCs w:val="48"/>
          <w:lang w:val="en-US"/>
        </w:rPr>
        <w:t xml:space="preserve"> 2009-2011</w:t>
      </w:r>
    </w:p>
    <w:p w14:paraId="0BCC32F3" w14:textId="028E3B25" w:rsidR="004110C3" w:rsidRPr="004110C3" w:rsidRDefault="004110C3" w:rsidP="004110C3">
      <w:pPr>
        <w:jc w:val="center"/>
        <w:rPr>
          <w:i/>
          <w:iCs w:val="0"/>
          <w:sz w:val="24"/>
          <w:szCs w:val="24"/>
          <w:lang w:val="en-US"/>
        </w:rPr>
      </w:pPr>
      <w:r w:rsidRPr="004110C3">
        <w:rPr>
          <w:i/>
          <w:iCs w:val="0"/>
          <w:sz w:val="24"/>
          <w:szCs w:val="24"/>
          <w:lang w:val="en-US"/>
        </w:rPr>
        <w:t>Retail Online II Dataset-Kaggle</w:t>
      </w:r>
    </w:p>
    <w:p w14:paraId="18198DF6" w14:textId="257FBDF4" w:rsidR="004110C3" w:rsidRPr="004110C3" w:rsidRDefault="00CF7A33" w:rsidP="004110C3">
      <w:r>
        <w:rPr>
          <w:noProof/>
        </w:rPr>
        <w:pict w14:anchorId="171A295A">
          <v:rect id="_x0000_i1028" alt="" style="width:451.3pt;height:.05pt;mso-width-percent:0;mso-height-percent:0;mso-width-percent:0;mso-height-percent:0" o:hralign="center" o:hrstd="t" o:hr="t" fillcolor="#a0a0a0" stroked="f"/>
        </w:pict>
      </w:r>
      <w:r w:rsidR="004110C3" w:rsidRPr="004110C3">
        <w:rPr>
          <w:rFonts w:ascii="Apple Color Emoji" w:hAnsi="Apple Color Emoji" w:cs="Apple Color Emoji"/>
          <w:color w:val="156082" w:themeColor="accent1"/>
        </w:rPr>
        <w:t>📊</w:t>
      </w:r>
      <w:r w:rsidR="004110C3" w:rsidRPr="004110C3">
        <w:rPr>
          <w:color w:val="156082" w:themeColor="accent1"/>
        </w:rPr>
        <w:t xml:space="preserve"> </w:t>
      </w:r>
      <w:r w:rsidR="004110C3" w:rsidRPr="004110C3">
        <w:rPr>
          <w:i/>
          <w:iCs w:val="0"/>
          <w:color w:val="156082" w:themeColor="accent1"/>
          <w:sz w:val="40"/>
          <w:szCs w:val="40"/>
        </w:rPr>
        <w:t>About the Project</w:t>
      </w:r>
    </w:p>
    <w:p w14:paraId="2767D4C9" w14:textId="0AB9BE6A" w:rsidR="004110C3" w:rsidRDefault="004110C3" w:rsidP="004110C3">
      <w:pPr>
        <w:pStyle w:val="NormalWeb"/>
        <w:rPr>
          <w:color w:val="000000"/>
        </w:rPr>
      </w:pPr>
      <w:r>
        <w:rPr>
          <w:color w:val="000000"/>
        </w:rPr>
        <w:t xml:space="preserve">This project focuses on </w:t>
      </w:r>
      <w:proofErr w:type="spellStart"/>
      <w:r>
        <w:rPr>
          <w:color w:val="000000"/>
        </w:rPr>
        <w:t>analyzing</w:t>
      </w:r>
      <w:proofErr w:type="spellEnd"/>
      <w:r>
        <w:rPr>
          <w:color w:val="000000"/>
        </w:rPr>
        <w:t xml:space="preserve">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Online Retail II dataset (2009–2011)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apple-converted-space"/>
          <w:rFonts w:eastAsiaTheme="majorEastAsia"/>
          <w:color w:val="000000"/>
        </w:rPr>
        <w:t xml:space="preserve">taken from </w:t>
      </w:r>
      <w:r w:rsidRPr="004110C3">
        <w:rPr>
          <w:rStyle w:val="apple-converted-space"/>
          <w:rFonts w:eastAsiaTheme="majorEastAsia"/>
          <w:i/>
          <w:iCs/>
          <w:color w:val="000000"/>
        </w:rPr>
        <w:t>Kaggle.com</w:t>
      </w:r>
      <w:r>
        <w:rPr>
          <w:rStyle w:val="apple-converted-space"/>
          <w:rFonts w:eastAsiaTheme="majorEastAsia"/>
          <w:color w:val="000000"/>
        </w:rPr>
        <w:t xml:space="preserve"> </w:t>
      </w:r>
      <w:r>
        <w:rPr>
          <w:color w:val="000000"/>
        </w:rPr>
        <w:t xml:space="preserve">to uncover customer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>, sales performance, and return patterns. The workflow was carried out in two stages:</w:t>
      </w:r>
    </w:p>
    <w:p w14:paraId="555AE242" w14:textId="77777777" w:rsidR="004110C3" w:rsidRDefault="004110C3" w:rsidP="004110C3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Exploratory Data Analysis (</w:t>
      </w:r>
      <w:proofErr w:type="spellStart"/>
      <w:r>
        <w:rPr>
          <w:rStyle w:val="Strong"/>
          <w:rFonts w:eastAsiaTheme="majorEastAsia"/>
          <w:color w:val="000000"/>
        </w:rPr>
        <w:t>Jupyter</w:t>
      </w:r>
      <w:proofErr w:type="spellEnd"/>
      <w:r>
        <w:rPr>
          <w:rStyle w:val="Strong"/>
          <w:rFonts w:eastAsiaTheme="majorEastAsia"/>
          <w:color w:val="000000"/>
        </w:rPr>
        <w:t xml:space="preserve"> Notebook)</w:t>
      </w:r>
    </w:p>
    <w:p w14:paraId="1AA6E382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Imported and cleaned raw transactional data, handling missing values and duplicates.</w:t>
      </w:r>
    </w:p>
    <w:p w14:paraId="0F72AA6D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Explored product-, customer-, and country-level sales trends.</w:t>
      </w:r>
    </w:p>
    <w:p w14:paraId="3D00D3EA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Calculated key metrics such as total revenue, revenue per customer, and order distribution.</w:t>
      </w:r>
    </w:p>
    <w:p w14:paraId="63CE9A50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 xml:space="preserve">Identified best-selling products and highlighted patterns in purchasing </w:t>
      </w:r>
      <w:proofErr w:type="spellStart"/>
      <w:r>
        <w:rPr>
          <w:color w:val="000000"/>
        </w:rPr>
        <w:t>behavior</w:t>
      </w:r>
      <w:proofErr w:type="spellEnd"/>
      <w:r>
        <w:rPr>
          <w:color w:val="000000"/>
        </w:rPr>
        <w:t xml:space="preserve"> across different regions.</w:t>
      </w:r>
    </w:p>
    <w:p w14:paraId="32762A64" w14:textId="77777777" w:rsidR="004110C3" w:rsidRDefault="004110C3" w:rsidP="004110C3">
      <w:pPr>
        <w:pStyle w:val="NormalWeb"/>
        <w:ind w:left="1440"/>
        <w:rPr>
          <w:color w:val="000000"/>
        </w:rPr>
      </w:pPr>
    </w:p>
    <w:p w14:paraId="0802D4E5" w14:textId="6810694C" w:rsidR="004110C3" w:rsidRDefault="004110C3" w:rsidP="004110C3">
      <w:pPr>
        <w:pStyle w:val="NormalWeb"/>
        <w:numPr>
          <w:ilvl w:val="0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Interactive Dashboard (</w:t>
      </w:r>
      <w:r>
        <w:rPr>
          <w:rStyle w:val="Strong"/>
          <w:rFonts w:eastAsiaTheme="majorEastAsia"/>
          <w:color w:val="000000"/>
        </w:rPr>
        <w:t xml:space="preserve">IBM Cognos </w:t>
      </w:r>
      <w:proofErr w:type="spellStart"/>
      <w:r>
        <w:rPr>
          <w:rStyle w:val="Strong"/>
          <w:rFonts w:eastAsiaTheme="majorEastAsia"/>
          <w:color w:val="000000"/>
        </w:rPr>
        <w:t>Analystics</w:t>
      </w:r>
      <w:proofErr w:type="spellEnd"/>
      <w:r>
        <w:rPr>
          <w:rStyle w:val="Strong"/>
          <w:rFonts w:eastAsiaTheme="majorEastAsia"/>
          <w:color w:val="000000"/>
        </w:rPr>
        <w:t>)</w:t>
      </w:r>
    </w:p>
    <w:p w14:paraId="6FAE02E5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Designed dashboards to make insights more accessible and decision-friendly.</w:t>
      </w:r>
    </w:p>
    <w:p w14:paraId="01B203C1" w14:textId="77777777" w:rsidR="004110C3" w:rsidRDefault="004110C3" w:rsidP="004110C3">
      <w:pPr>
        <w:pStyle w:val="NormalWeb"/>
        <w:numPr>
          <w:ilvl w:val="1"/>
          <w:numId w:val="6"/>
        </w:numPr>
        <w:rPr>
          <w:color w:val="000000"/>
        </w:rPr>
      </w:pPr>
      <w:r>
        <w:rPr>
          <w:color w:val="000000"/>
        </w:rPr>
        <w:t>Key highlights include:</w:t>
      </w:r>
    </w:p>
    <w:p w14:paraId="2546C0A2" w14:textId="77777777" w:rsidR="004110C3" w:rsidRDefault="004110C3" w:rsidP="004110C3">
      <w:pPr>
        <w:pStyle w:val="NormalWeb"/>
        <w:numPr>
          <w:ilvl w:val="2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Total Sales: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$19.2M across ~6,000 unique customers with an average order value of ~$359.</w:t>
      </w:r>
    </w:p>
    <w:p w14:paraId="2658BF34" w14:textId="77777777" w:rsidR="004110C3" w:rsidRDefault="004110C3" w:rsidP="004110C3">
      <w:pPr>
        <w:pStyle w:val="NormalWeb"/>
        <w:numPr>
          <w:ilvl w:val="2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Top Products: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Seasonal and decorative items (e.g., assorted bird ornaments, </w:t>
      </w:r>
      <w:proofErr w:type="spellStart"/>
      <w:r>
        <w:rPr>
          <w:color w:val="000000"/>
        </w:rPr>
        <w:t>retrospot</w:t>
      </w:r>
      <w:proofErr w:type="spellEnd"/>
      <w:r>
        <w:rPr>
          <w:color w:val="000000"/>
        </w:rPr>
        <w:t xml:space="preserve"> bags, bunting) dominate sales.</w:t>
      </w:r>
    </w:p>
    <w:p w14:paraId="35ABE8C9" w14:textId="77777777" w:rsidR="004110C3" w:rsidRDefault="004110C3" w:rsidP="004110C3">
      <w:pPr>
        <w:pStyle w:val="NormalWeb"/>
        <w:numPr>
          <w:ilvl w:val="2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Geographic Insights: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The UK leads sales by a large margin, followed by EIRE and several European countries.</w:t>
      </w:r>
    </w:p>
    <w:p w14:paraId="1F0E3805" w14:textId="77777777" w:rsidR="004110C3" w:rsidRDefault="004110C3" w:rsidP="004110C3">
      <w:pPr>
        <w:pStyle w:val="NormalWeb"/>
        <w:numPr>
          <w:ilvl w:val="2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Monthly Trends: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Clear peaks during festive months, indicating strong seasonal effects.</w:t>
      </w:r>
    </w:p>
    <w:p w14:paraId="7F87D8DA" w14:textId="77777777" w:rsidR="004110C3" w:rsidRDefault="004110C3" w:rsidP="004110C3">
      <w:pPr>
        <w:pStyle w:val="NormalWeb"/>
        <w:numPr>
          <w:ilvl w:val="2"/>
          <w:numId w:val="6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Returns Analysis: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Over 1M units returned (worth $1.52M), with a return rate of 7.34%. Certain fragile or decorative items had higher return rates.</w:t>
      </w:r>
    </w:p>
    <w:p w14:paraId="19971683" w14:textId="77777777" w:rsidR="004110C3" w:rsidRDefault="00CF7A33" w:rsidP="004110C3">
      <w:r>
        <w:rPr>
          <w:noProof/>
        </w:rPr>
        <w:pict w14:anchorId="61B10F8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47680B" w14:textId="58A46CA3" w:rsidR="004110C3" w:rsidRDefault="004110C3" w:rsidP="004110C3">
      <w:pPr>
        <w:pStyle w:val="Heading3"/>
        <w:rPr>
          <w:color w:val="000000"/>
        </w:rPr>
      </w:pPr>
      <w:r>
        <w:rPr>
          <w:color w:val="000000"/>
        </w:rPr>
        <w:t xml:space="preserve"> Key Insights</w:t>
      </w:r>
    </w:p>
    <w:p w14:paraId="526F60A3" w14:textId="77777777" w:rsidR="004110C3" w:rsidRDefault="004110C3" w:rsidP="004110C3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The business has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high seasonality</w:t>
      </w:r>
      <w:r>
        <w:rPr>
          <w:color w:val="000000"/>
        </w:rPr>
        <w:t>, with sales spiking around the holiday season.</w:t>
      </w:r>
    </w:p>
    <w:p w14:paraId="15DB239C" w14:textId="77777777" w:rsidR="004110C3" w:rsidRDefault="004110C3" w:rsidP="004110C3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A small subset of products contributes disproportionately to total revenue.</w:t>
      </w:r>
    </w:p>
    <w:p w14:paraId="12F1DBB6" w14:textId="77777777" w:rsidR="004110C3" w:rsidRDefault="004110C3" w:rsidP="004110C3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While the UK dominates, there is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international demand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worth exploring further.</w:t>
      </w:r>
    </w:p>
    <w:p w14:paraId="638685E5" w14:textId="77777777" w:rsidR="004110C3" w:rsidRDefault="004110C3" w:rsidP="004110C3">
      <w:pPr>
        <w:pStyle w:val="NormalWeb"/>
        <w:numPr>
          <w:ilvl w:val="0"/>
          <w:numId w:val="7"/>
        </w:numPr>
        <w:rPr>
          <w:color w:val="000000"/>
        </w:rPr>
      </w:pPr>
      <w:r>
        <w:rPr>
          <w:color w:val="000000"/>
        </w:rPr>
        <w:t>Returns, though not extreme, represent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non-trivial loss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(~7% of sales) and require attention on quality control and logistics.</w:t>
      </w:r>
    </w:p>
    <w:p w14:paraId="3ACB858C" w14:textId="77777777" w:rsidR="004110C3" w:rsidRDefault="00CF7A33" w:rsidP="004110C3">
      <w:r>
        <w:rPr>
          <w:noProof/>
        </w:rPr>
        <w:lastRenderedPageBreak/>
        <w:pict w14:anchorId="60AE745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CCF2028" w14:textId="36E895DD" w:rsidR="004110C3" w:rsidRDefault="004110C3" w:rsidP="004110C3">
      <w:pPr>
        <w:pStyle w:val="Heading3"/>
        <w:rPr>
          <w:color w:val="000000"/>
        </w:rPr>
      </w:pPr>
      <w:r>
        <w:rPr>
          <w:color w:val="000000"/>
        </w:rPr>
        <w:t xml:space="preserve"> What You Can See in the Dashboards</w:t>
      </w:r>
    </w:p>
    <w:p w14:paraId="21115F46" w14:textId="77777777" w:rsidR="004110C3" w:rsidRDefault="004110C3" w:rsidP="004110C3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Sales Performance Overview: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Total sales, unique customers, and order values.</w:t>
      </w:r>
    </w:p>
    <w:p w14:paraId="3280B182" w14:textId="77777777" w:rsidR="004110C3" w:rsidRDefault="004110C3" w:rsidP="004110C3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Product-Level Insights: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Top-selling items and return-prone products.</w:t>
      </w:r>
    </w:p>
    <w:p w14:paraId="0E26A118" w14:textId="77777777" w:rsidR="004110C3" w:rsidRDefault="004110C3" w:rsidP="004110C3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Time Trends: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Monthly and yearly sales patterns.</w:t>
      </w:r>
    </w:p>
    <w:p w14:paraId="7AFED987" w14:textId="77777777" w:rsidR="004110C3" w:rsidRDefault="004110C3" w:rsidP="004110C3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Geographic Distribution: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Country-level contribution to total sales.</w:t>
      </w:r>
    </w:p>
    <w:p w14:paraId="1DEBF8A5" w14:textId="77777777" w:rsidR="004110C3" w:rsidRDefault="004110C3" w:rsidP="004110C3">
      <w:pPr>
        <w:pStyle w:val="NormalWeb"/>
        <w:numPr>
          <w:ilvl w:val="0"/>
          <w:numId w:val="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Returns Breakdown: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Return volumes, values, and reasons.</w:t>
      </w:r>
    </w:p>
    <w:p w14:paraId="00AE9B4D" w14:textId="77777777" w:rsidR="004110C3" w:rsidRDefault="00CF7A33" w:rsidP="004110C3">
      <w:r>
        <w:rPr>
          <w:noProof/>
        </w:rPr>
        <w:pict w14:anchorId="1FB2A2A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8885C8" w14:textId="77777777" w:rsidR="004110C3" w:rsidRDefault="004110C3" w:rsidP="004110C3">
      <w:pPr>
        <w:pStyle w:val="NormalWeb"/>
        <w:rPr>
          <w:color w:val="000000"/>
        </w:rPr>
      </w:pPr>
      <w:r>
        <w:rPr>
          <w:color w:val="000000"/>
        </w:rPr>
        <w:t>This project demonstrates how raw transactional data can be transformed into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business-ready insights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and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decision-support dashboards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that highlight growth opportunities and operational risks.</w:t>
      </w:r>
    </w:p>
    <w:p w14:paraId="700DF55C" w14:textId="3F01B0C5" w:rsidR="004110C3" w:rsidRPr="004110C3" w:rsidRDefault="004110C3" w:rsidP="004110C3"/>
    <w:p w14:paraId="2C652E88" w14:textId="77777777" w:rsidR="004110C3" w:rsidRPr="004110C3" w:rsidRDefault="004110C3" w:rsidP="004110C3">
      <w:pPr>
        <w:rPr>
          <w:i/>
          <w:iCs w:val="0"/>
          <w:sz w:val="24"/>
          <w:szCs w:val="24"/>
        </w:rPr>
      </w:pPr>
    </w:p>
    <w:sectPr w:rsidR="004110C3" w:rsidRPr="00411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325E5"/>
    <w:multiLevelType w:val="multilevel"/>
    <w:tmpl w:val="DF22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91846"/>
    <w:multiLevelType w:val="multilevel"/>
    <w:tmpl w:val="C270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47985"/>
    <w:multiLevelType w:val="multilevel"/>
    <w:tmpl w:val="55E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8687090">
    <w:abstractNumId w:val="2"/>
  </w:num>
  <w:num w:numId="2" w16cid:durableId="23557129">
    <w:abstractNumId w:val="2"/>
  </w:num>
  <w:num w:numId="3" w16cid:durableId="1285848644">
    <w:abstractNumId w:val="2"/>
  </w:num>
  <w:num w:numId="4" w16cid:durableId="145555626">
    <w:abstractNumId w:val="2"/>
  </w:num>
  <w:num w:numId="5" w16cid:durableId="1078408354">
    <w:abstractNumId w:val="2"/>
  </w:num>
  <w:num w:numId="6" w16cid:durableId="815881165">
    <w:abstractNumId w:val="1"/>
  </w:num>
  <w:num w:numId="7" w16cid:durableId="1497842984">
    <w:abstractNumId w:val="3"/>
  </w:num>
  <w:num w:numId="8" w16cid:durableId="3790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C3"/>
    <w:rsid w:val="002B421E"/>
    <w:rsid w:val="002C24BE"/>
    <w:rsid w:val="004110C3"/>
    <w:rsid w:val="0044454A"/>
    <w:rsid w:val="00C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CA23"/>
  <w15:chartTrackingRefBased/>
  <w15:docId w15:val="{8FEC5220-E55E-9A45-9793-E7EA0817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0C3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0C3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0C3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0C3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0C3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0C3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0C3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0C3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0C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0C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0C3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0C3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0C3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0C3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0C3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0C3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0C3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0C3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0C3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10C3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110C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110C3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10C3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110C3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110C3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4110C3"/>
    <w:pPr>
      <w:numPr>
        <w:numId w:val="5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4110C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0C3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0C3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110C3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10C3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110C3"/>
    <w:rPr>
      <w:b/>
      <w:bCs/>
      <w:spacing w:val="0"/>
    </w:rPr>
  </w:style>
  <w:style w:type="character" w:styleId="Emphasis">
    <w:name w:val="Emphasis"/>
    <w:uiPriority w:val="20"/>
    <w:qFormat/>
    <w:rsid w:val="004110C3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4110C3"/>
    <w:pPr>
      <w:spacing w:after="0" w:line="240" w:lineRule="auto"/>
    </w:pPr>
  </w:style>
  <w:style w:type="character" w:styleId="SubtleEmphasis">
    <w:name w:val="Subtle Emphasis"/>
    <w:uiPriority w:val="19"/>
    <w:qFormat/>
    <w:rsid w:val="004110C3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4110C3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110C3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10C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1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11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6347D7-6F49-674E-A5FB-520B4371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Mathur</dc:creator>
  <cp:keywords/>
  <dc:description/>
  <cp:lastModifiedBy>Raman Mathur</cp:lastModifiedBy>
  <cp:revision>1</cp:revision>
  <dcterms:created xsi:type="dcterms:W3CDTF">2025-09-30T18:28:00Z</dcterms:created>
  <dcterms:modified xsi:type="dcterms:W3CDTF">2025-09-30T18:36:00Z</dcterms:modified>
</cp:coreProperties>
</file>