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Research brief: Tea-time snacking (FICTIONAL EXAMPLE)</w:t>
      </w:r>
    </w:p>
    <w:p>
      <w:pPr>
        <w:pStyle w:val="Heading1"/>
      </w:pPr>
      <w:r>
        <w:t xml:space="preserve">Client</w:t>
      </w:r>
    </w:p>
    <w:p>
      <w:r>
        <w:t xml:space="preserve">Example Foods Pvt Ltd (fictional)</w:t>
      </w:r>
    </w:p>
    <w:p>
      <w:pPr>
        <w:pStyle w:val="Heading1"/>
      </w:pPr>
      <w:r>
        <w:t xml:space="preserve">Background</w:t>
      </w:r>
    </w:p>
    <w:p>
      <w:r>
        <w:t xml:space="preserve">Example Foods sells packaged namkeen in North India and wants to understand evening tea-time snacking before launching a baked range in the South.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Understand the role of snacks in the evening chai ritual</w:t>
      </w:r>
    </w:p>
    <w:p>
      <w:pPr>
        <w:pStyle w:val="ListParagraph"/>
        <w:numPr>
          <w:ilvl w:val="0"/>
          <w:numId w:val="1"/>
        </w:numPr>
      </w:pPr>
      <w:r>
        <w:t xml:space="preserve">Map how people choose between brands and loose/local options</w:t>
      </w:r>
    </w:p>
    <w:p>
      <w:pPr>
        <w:pStyle w:val="ListParagraph"/>
        <w:numPr>
          <w:ilvl w:val="0"/>
          <w:numId w:val="1"/>
        </w:numPr>
      </w:pPr>
      <w:r>
        <w:t xml:space="preserve">Identify barriers and triggers for trying a new baked snack</w:t>
      </w:r>
    </w:p>
    <w:p>
      <w:pPr>
        <w:pStyle w:val="Heading1"/>
      </w:pPr>
      <w:r>
        <w:t xml:space="preserve">Methodology</w:t>
      </w:r>
    </w:p>
    <w:p>
      <w:r>
        <w:t xml:space="preserve">8 in-depth interviews (IDIs), 60 minutes, in-home, Hindi/Hinglish and Tamil/English. Lucknow, Delhi, Chennai, Coimbatore.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2026-10-04T21:48:31.017Z</dcterms:created>
  <dcterms:modified xsi:type="dcterms:W3CDTF">2026-10-04T21:48:31.017Z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