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Recruitment screener (FICTIONAL EXAMPLE)</w:t>
      </w:r>
    </w:p>
    <w:p>
      <w:r>
        <w:t xml:space="preserve">S1. Age: 25–45. S2. SEC A/B. S3. Main shopper for household snacks.</w:t>
      </w:r>
    </w:p>
    <w:p>
      <w:r>
        <w:rPr>
          <w:b/>
          <w:bCs/>
        </w:rPr>
        <w:t xml:space="preserve">S4. How often do you eat packaged namkeen with evening tea?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Answer</w:t>
            </w:r>
          </w:p>
        </w:tc>
        <w:tc>
          <w:p>
            <w:r>
              <w:t xml:space="preserve">Segment</w:t>
            </w:r>
          </w:p>
        </w:tc>
        <w:tc>
          <w:p>
            <w:r>
              <w:t xml:space="preserve">Quota</w:t>
            </w:r>
          </w:p>
        </w:tc>
      </w:tr>
      <w:tr>
        <w:tc>
          <w:p>
            <w:r>
              <w:t xml:space="preserve">5 or more days a week</w:t>
            </w:r>
          </w:p>
        </w:tc>
        <w:tc>
          <w:p>
            <w:r>
              <w:t xml:space="preserve">Heavy snackers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1–2 days a week or less</w:t>
            </w:r>
          </w:p>
        </w:tc>
        <w:tc>
          <w:p>
            <w:r>
              <w:t xml:space="preserve">Light snackers</w:t>
            </w:r>
          </w:p>
        </w:tc>
        <w:tc>
          <w:p>
            <w:r>
              <w:t xml:space="preserve">4</w:t>
            </w:r>
          </w:p>
        </w:tc>
      </w:tr>
    </w:tbl>
    <w:p>
      <w:r>
        <w:t xml:space="preserve">Terminate: works in market research, advertising or a snack company.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2026-10-04T21:48:31.068Z</dcterms:created>
  <dcterms:modified xsi:type="dcterms:W3CDTF">2026-10-04T21:48:31.068Z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