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both"/>
      </w:pPr>
      <w:r>
        <w:rPr>
          <w:rFonts w:ascii="Times New Roman" w:hAnsi="Times New Roman"/>
          <w:b w:val="0"/>
          <w:i w:val="0"/>
          <w:sz w:val="24"/>
        </w:rPr>
      </w:r>
    </w:p>
    <w:p>
      <w:pPr>
        <w:ind w:firstLine="0"/>
        <w:jc w:val="both"/>
      </w:pPr>
      <w:r>
        <w:rPr>
          <w:rFonts w:ascii="Times New Roman" w:hAnsi="Times New Roman"/>
          <w:b w:val="0"/>
          <w:i w:val="0"/>
          <w:sz w:val="24"/>
        </w:rPr>
      </w:r>
    </w:p>
    <w:p>
      <w:pPr>
        <w:ind w:firstLine="0"/>
        <w:jc w:val="both"/>
      </w:pPr>
      <w:r>
        <w:rPr>
          <w:rFonts w:ascii="Times New Roman" w:hAnsi="Times New Roman"/>
          <w:b w:val="0"/>
          <w:i w:val="0"/>
          <w:sz w:val="24"/>
        </w:rPr>
      </w:r>
    </w:p>
    <w:p>
      <w:pPr>
        <w:ind w:firstLine="0"/>
        <w:jc w:val="center"/>
      </w:pPr>
      <w:r>
        <w:rPr>
          <w:rFonts w:ascii="Times New Roman" w:hAnsi="Times New Roman"/>
          <w:b/>
          <w:i w:val="0"/>
          <w:sz w:val="24"/>
        </w:rPr>
        <w:t>Implementación de un sistema digital de registro de puntualidad con incentivos grupales y su influencia en el comportamiento de llegada de los estudiantes del Gimnasio Galileo Galilei</w:t>
      </w:r>
    </w:p>
    <w:p>
      <w:pPr>
        <w:ind w:firstLine="0"/>
        <w:jc w:val="both"/>
      </w:pPr>
      <w:r>
        <w:rPr>
          <w:rFonts w:ascii="Times New Roman" w:hAnsi="Times New Roman"/>
          <w:b w:val="0"/>
          <w:i w:val="0"/>
          <w:sz w:val="24"/>
        </w:rPr>
      </w:r>
    </w:p>
    <w:p>
      <w:pPr>
        <w:ind w:firstLine="0"/>
        <w:jc w:val="both"/>
      </w:pPr>
      <w:r>
        <w:rPr>
          <w:rFonts w:ascii="Times New Roman" w:hAnsi="Times New Roman"/>
          <w:b w:val="0"/>
          <w:i w:val="0"/>
          <w:sz w:val="24"/>
        </w:rPr>
      </w:r>
    </w:p>
    <w:p>
      <w:pPr>
        <w:ind w:firstLine="0"/>
        <w:jc w:val="both"/>
      </w:pPr>
      <w:r>
        <w:rPr>
          <w:rFonts w:ascii="Times New Roman" w:hAnsi="Times New Roman"/>
          <w:b w:val="0"/>
          <w:i w:val="0"/>
          <w:sz w:val="24"/>
        </w:rPr>
      </w:r>
    </w:p>
    <w:p>
      <w:pPr>
        <w:ind w:firstLine="0"/>
        <w:jc w:val="center"/>
      </w:pPr>
      <w:r>
        <w:rPr>
          <w:rFonts w:ascii="Times New Roman" w:hAnsi="Times New Roman"/>
          <w:b w:val="0"/>
          <w:i w:val="0"/>
          <w:sz w:val="24"/>
        </w:rPr>
        <w:t>Diego Alejandro Quintero Fuya</w:t>
      </w:r>
    </w:p>
    <w:p>
      <w:pPr>
        <w:ind w:firstLine="0"/>
        <w:jc w:val="both"/>
      </w:pPr>
      <w:r>
        <w:rPr>
          <w:rFonts w:ascii="Times New Roman" w:hAnsi="Times New Roman"/>
          <w:b w:val="0"/>
          <w:i w:val="0"/>
          <w:sz w:val="24"/>
        </w:rPr>
      </w:r>
    </w:p>
    <w:p>
      <w:pPr>
        <w:ind w:firstLine="0"/>
        <w:jc w:val="both"/>
      </w:pPr>
      <w:r>
        <w:rPr>
          <w:rFonts w:ascii="Times New Roman" w:hAnsi="Times New Roman"/>
          <w:b w:val="0"/>
          <w:i w:val="0"/>
          <w:sz w:val="24"/>
        </w:rPr>
      </w:r>
    </w:p>
    <w:p>
      <w:pPr>
        <w:ind w:firstLine="0"/>
        <w:jc w:val="center"/>
      </w:pPr>
      <w:r>
        <w:rPr>
          <w:rFonts w:ascii="Times New Roman" w:hAnsi="Times New Roman"/>
          <w:b w:val="0"/>
          <w:i w:val="0"/>
          <w:sz w:val="24"/>
        </w:rPr>
        <w:t>Trabajo de grado presentado como requisito para optar al título de Bachiller Académico</w:t>
      </w:r>
    </w:p>
    <w:p>
      <w:pPr>
        <w:ind w:firstLine="0"/>
        <w:jc w:val="both"/>
      </w:pPr>
      <w:r>
        <w:rPr>
          <w:rFonts w:ascii="Times New Roman" w:hAnsi="Times New Roman"/>
          <w:b w:val="0"/>
          <w:i w:val="0"/>
          <w:sz w:val="24"/>
        </w:rPr>
      </w:r>
    </w:p>
    <w:p>
      <w:pPr>
        <w:ind w:firstLine="0"/>
        <w:jc w:val="both"/>
      </w:pPr>
      <w:r>
        <w:rPr>
          <w:rFonts w:ascii="Times New Roman" w:hAnsi="Times New Roman"/>
          <w:b w:val="0"/>
          <w:i w:val="0"/>
          <w:sz w:val="24"/>
        </w:rPr>
      </w:r>
    </w:p>
    <w:p>
      <w:pPr>
        <w:ind w:firstLine="0"/>
        <w:jc w:val="center"/>
      </w:pPr>
      <w:r>
        <w:rPr>
          <w:rFonts w:ascii="Times New Roman" w:hAnsi="Times New Roman"/>
          <w:b w:val="0"/>
          <w:i w:val="0"/>
          <w:sz w:val="24"/>
        </w:rPr>
        <w:t>Asesor: Pedro Guaya</w:t>
      </w:r>
    </w:p>
    <w:p>
      <w:pPr>
        <w:ind w:firstLine="0"/>
        <w:jc w:val="both"/>
      </w:pPr>
      <w:r>
        <w:rPr>
          <w:rFonts w:ascii="Times New Roman" w:hAnsi="Times New Roman"/>
          <w:b w:val="0"/>
          <w:i w:val="0"/>
          <w:sz w:val="24"/>
        </w:rPr>
      </w:r>
    </w:p>
    <w:p>
      <w:pPr>
        <w:ind w:firstLine="0"/>
        <w:jc w:val="both"/>
      </w:pPr>
      <w:r>
        <w:rPr>
          <w:rFonts w:ascii="Times New Roman" w:hAnsi="Times New Roman"/>
          <w:b w:val="0"/>
          <w:i w:val="0"/>
          <w:sz w:val="24"/>
        </w:rPr>
      </w:r>
    </w:p>
    <w:p>
      <w:pPr>
        <w:ind w:firstLine="0"/>
        <w:jc w:val="both"/>
      </w:pPr>
      <w:r>
        <w:rPr>
          <w:rFonts w:ascii="Times New Roman" w:hAnsi="Times New Roman"/>
          <w:b w:val="0"/>
          <w:i w:val="0"/>
          <w:sz w:val="24"/>
        </w:rPr>
      </w:r>
    </w:p>
    <w:p>
      <w:pPr>
        <w:ind w:firstLine="0"/>
        <w:jc w:val="center"/>
      </w:pPr>
      <w:r>
        <w:rPr>
          <w:rFonts w:ascii="Times New Roman" w:hAnsi="Times New Roman"/>
          <w:b w:val="0"/>
          <w:i w:val="0"/>
          <w:sz w:val="24"/>
        </w:rPr>
        <w:t>Gimnasio Galileo Galilei</w:t>
      </w:r>
    </w:p>
    <w:p>
      <w:pPr>
        <w:ind w:firstLine="0"/>
        <w:jc w:val="center"/>
      </w:pPr>
      <w:r>
        <w:rPr>
          <w:rFonts w:ascii="Times New Roman" w:hAnsi="Times New Roman"/>
          <w:b w:val="0"/>
          <w:i w:val="0"/>
          <w:sz w:val="24"/>
        </w:rPr>
        <w:t>Bogotá D. C.</w:t>
      </w:r>
    </w:p>
    <w:p>
      <w:pPr>
        <w:ind w:firstLine="0"/>
        <w:jc w:val="center"/>
      </w:pPr>
      <w:r>
        <w:rPr>
          <w:rFonts w:ascii="Times New Roman" w:hAnsi="Times New Roman"/>
          <w:b w:val="0"/>
          <w:i w:val="0"/>
          <w:sz w:val="24"/>
        </w:rPr>
        <w:t>2026</w:t>
      </w:r>
    </w:p>
    <w:p>
      <w:r>
        <w:br w:type="page"/>
      </w:r>
    </w:p>
    <w:p>
      <w:pPr>
        <w:ind w:firstLine="0"/>
        <w:jc w:val="center"/>
      </w:pPr>
      <w:r>
        <w:rPr>
          <w:rFonts w:ascii="Times New Roman" w:hAnsi="Times New Roman"/>
          <w:b/>
          <w:i w:val="0"/>
          <w:sz w:val="24"/>
        </w:rPr>
        <w:t>Contenido</w:t>
      </w:r>
    </w:p>
    <w:p>
      <w:pPr>
        <w:ind w:firstLine="0"/>
      </w:pPr>
      <w:r>
        <w:fldChar w:fldCharType="begin"/>
        <w:instrText xml:space="preserve">TOC \h \u \z \t "Heading 1,1,Heading 2,2,Heading 3,3,"</w:instrText>
        <w:fldChar w:fldCharType="separate"/>
        <w:t> </w:t>
        <w:fldChar w:fldCharType="end"/>
      </w:r>
    </w:p>
    <w:p>
      <w:r>
        <w:br w:type="page"/>
      </w:r>
    </w:p>
    <w:p>
      <w:pPr>
        <w:ind w:firstLine="0"/>
        <w:jc w:val="center"/>
      </w:pPr>
      <w:r>
        <w:rPr>
          <w:rFonts w:ascii="Times New Roman" w:hAnsi="Times New Roman"/>
          <w:b/>
          <w:i w:val="0"/>
          <w:sz w:val="24"/>
        </w:rPr>
        <w:t>Lista de tablas</w:t>
      </w:r>
    </w:p>
    <w:p>
      <w:pPr>
        <w:ind w:firstLine="0"/>
      </w:pPr>
      <w:r>
        <w:fldChar w:fldCharType="begin"/>
        <w:instrText xml:space="preserve">TOC \h \z \c "Tabla"</w:instrText>
        <w:fldChar w:fldCharType="separate"/>
        <w:t> </w:t>
        <w:fldChar w:fldCharType="end"/>
      </w:r>
    </w:p>
    <w:p>
      <w:r>
        <w:br w:type="page"/>
      </w:r>
    </w:p>
    <w:p>
      <w:pPr>
        <w:ind w:firstLine="0"/>
        <w:jc w:val="center"/>
      </w:pPr>
      <w:r>
        <w:rPr>
          <w:rFonts w:ascii="Times New Roman" w:hAnsi="Times New Roman"/>
          <w:b/>
          <w:i w:val="0"/>
          <w:sz w:val="24"/>
        </w:rPr>
        <w:t>Lista de figuras</w:t>
      </w:r>
    </w:p>
    <w:p>
      <w:pPr>
        <w:ind w:firstLine="0"/>
      </w:pPr>
      <w:r>
        <w:fldChar w:fldCharType="begin"/>
        <w:instrText xml:space="preserve">TOC \h \z \c "Figura"</w:instrText>
        <w:fldChar w:fldCharType="separate"/>
        <w:t> </w:t>
        <w:fldChar w:fldCharType="end"/>
      </w:r>
    </w:p>
    <w:p>
      <w:r>
        <w:br w:type="page"/>
      </w:r>
    </w:p>
    <w:p>
      <w:pPr>
        <w:ind w:firstLine="0"/>
        <w:jc w:val="center"/>
      </w:pPr>
      <w:r>
        <w:rPr>
          <w:rFonts w:ascii="Times New Roman" w:hAnsi="Times New Roman"/>
          <w:b/>
          <w:i w:val="0"/>
          <w:sz w:val="24"/>
        </w:rPr>
        <w:t>Lista de apéndices</w:t>
      </w:r>
    </w:p>
    <w:p>
      <w:pPr>
        <w:ind w:firstLine="0"/>
        <w:jc w:val="both"/>
      </w:pPr>
      <w:r>
        <w:rPr>
          <w:rFonts w:ascii="Times New Roman" w:hAnsi="Times New Roman"/>
          <w:b w:val="0"/>
          <w:i w:val="0"/>
          <w:sz w:val="24"/>
        </w:rPr>
        <w:t>Apéndice A. Solicitud de autorización institucional.</w:t>
      </w:r>
    </w:p>
    <w:p>
      <w:pPr>
        <w:ind w:firstLine="0"/>
        <w:jc w:val="both"/>
      </w:pPr>
      <w:r>
        <w:rPr>
          <w:rFonts w:ascii="Times New Roman" w:hAnsi="Times New Roman"/>
          <w:b w:val="0"/>
          <w:i w:val="0"/>
          <w:sz w:val="24"/>
        </w:rPr>
        <w:t>Apéndice B. Formato de consentimiento informado.</w:t>
      </w:r>
    </w:p>
    <w:p>
      <w:pPr>
        <w:ind w:firstLine="0"/>
        <w:jc w:val="both"/>
      </w:pPr>
      <w:r>
        <w:rPr>
          <w:rFonts w:ascii="Times New Roman" w:hAnsi="Times New Roman"/>
          <w:b w:val="0"/>
          <w:i w:val="0"/>
          <w:sz w:val="24"/>
        </w:rPr>
        <w:t>Apéndice C. Encuesta de percepción aplicada a los estudiantes.</w:t>
      </w:r>
    </w:p>
    <w:p>
      <w:pPr>
        <w:ind w:firstLine="0"/>
        <w:jc w:val="both"/>
      </w:pPr>
      <w:r>
        <w:rPr>
          <w:rFonts w:ascii="Times New Roman" w:hAnsi="Times New Roman"/>
          <w:b w:val="0"/>
          <w:i w:val="0"/>
          <w:sz w:val="24"/>
        </w:rPr>
        <w:t>Apéndice D. Manual de uso del sistema.</w:t>
      </w:r>
    </w:p>
    <w:p>
      <w:pPr>
        <w:ind w:firstLine="0"/>
        <w:jc w:val="both"/>
      </w:pPr>
      <w:r>
        <w:rPr>
          <w:rFonts w:ascii="Times New Roman" w:hAnsi="Times New Roman"/>
          <w:b w:val="0"/>
          <w:i w:val="0"/>
          <w:sz w:val="24"/>
        </w:rPr>
        <w:t>Apéndice E. Modelo de datos y repositorio del código fuente.</w:t>
      </w:r>
    </w:p>
    <w:p>
      <w:r>
        <w:br w:type="page"/>
      </w:r>
    </w:p>
    <w:p>
      <w:pPr>
        <w:ind w:firstLine="0"/>
        <w:jc w:val="center"/>
      </w:pPr>
      <w:r>
        <w:rPr>
          <w:rFonts w:ascii="Times New Roman" w:hAnsi="Times New Roman"/>
          <w:b/>
          <w:i w:val="0"/>
          <w:sz w:val="24"/>
        </w:rPr>
        <w:t>Resumen</w:t>
      </w:r>
    </w:p>
    <w:p>
      <w:pPr>
        <w:ind w:firstLine="0"/>
        <w:jc w:val="both"/>
      </w:pPr>
      <w:r>
        <w:rPr>
          <w:rFonts w:ascii="Times New Roman" w:hAnsi="Times New Roman"/>
          <w:b w:val="0"/>
          <w:i w:val="0"/>
          <w:sz w:val="24"/>
        </w:rPr>
        <w:t>El presente trabajo aborda el registro y la gestión de las llegadas tarde en el Gimnasio Galileo Galilei, procedimiento que actualmente se realiza mediante planilla física y que, por esa razón, no permite consolidar información ni ofrecer retroalimentación a los estudiantes. El proyecto consistió en desarrollar una aplicación web que registra la hora de ingreso mediante la lectura de un código QR individual en portería, y en articular ese registro con un esquema de incentivos de carácter grupal, en el que los tres cursos de bachillerato de la institución acumulan puntos según su puntualidad promedio y compiten en un tablero público que no identifica a ningún estudiante de manera individual. Metodológicamente se adoptó un enfoque mixto con un diseño de medidas repetidas de tipo antes-después: se comparó un periodo de línea base de dos semanas, reconstruido a partir de los registros físicos existentes, con un periodo de intervención de dos semanas con el sistema en operación. Los indicadores medidos fueron el porcentaje de llegadas puntuales por curso y los minutos de clase perdidos por llegadas tarde; de manera complementaria se aplicó una encuesta de percepción para documentar los efectos no deseados de la intervención, en particular la presión social entre compañeros y la incidencia de factores de transporte ajenos a la voluntad del estudiante.</w:t>
      </w:r>
    </w:p>
    <w:p>
      <w:pPr>
        <w:ind w:firstLine="709"/>
        <w:jc w:val="both"/>
      </w:pPr>
      <w:r>
        <w:rPr>
          <w:rFonts w:ascii="Times New Roman" w:hAnsi="Times New Roman"/>
          <w:i/>
          <w:color w:val="808080"/>
          <w:sz w:val="24"/>
        </w:rPr>
        <w:t>[PENDIENTE] Completar el resumen con los resultados obtenidos y la conclusión principal, una vez finalizado el piloto. Extensión final entre 150 y 250 palabras.</w:t>
      </w:r>
    </w:p>
    <w:p>
      <w:pPr>
        <w:ind w:firstLine="709"/>
        <w:jc w:val="both"/>
      </w:pPr>
      <w:r>
        <w:rPr>
          <w:rFonts w:ascii="Times New Roman" w:hAnsi="Times New Roman"/>
          <w:b w:val="0"/>
          <w:i w:val="0"/>
          <w:sz w:val="24"/>
        </w:rPr>
      </w:r>
    </w:p>
    <w:p>
      <w:pPr>
        <w:ind w:firstLine="0"/>
      </w:pPr>
      <w:r>
        <w:rPr>
          <w:rFonts w:ascii="Times New Roman" w:hAnsi="Times New Roman"/>
          <w:i/>
          <w:sz w:val="24"/>
        </w:rPr>
        <w:t xml:space="preserve">Palabras clave: </w:t>
      </w:r>
      <w:r>
        <w:rPr>
          <w:rFonts w:ascii="Times New Roman" w:hAnsi="Times New Roman"/>
          <w:sz w:val="24"/>
        </w:rPr>
        <w:t>Puntualidad, Refuerzo Positivo, Gamificación, Aplicación Web, Convivencia Escolar, Motivación Extrínseca</w:t>
      </w:r>
    </w:p>
    <w:p>
      <w:r>
        <w:br w:type="page"/>
      </w:r>
    </w:p>
    <w:p>
      <w:pPr>
        <w:pStyle w:val="Heading1"/>
      </w:pPr>
      <w:r>
        <w:t>1. Introducción</w:t>
      </w:r>
    </w:p>
    <w:p>
      <w:pPr>
        <w:ind w:firstLine="709"/>
        <w:jc w:val="both"/>
      </w:pPr>
      <w:r>
        <w:rPr>
          <w:rFonts w:ascii="Times New Roman" w:hAnsi="Times New Roman"/>
          <w:b w:val="0"/>
          <w:i w:val="0"/>
          <w:sz w:val="24"/>
        </w:rPr>
        <w:t>La puntualidad en el ingreso a la jornada escolar constituye un hábito formativo y, al mismo tiempo, una condición operativa del funcionamiento de la institución. Cada ingreso posterior a la hora establecida representa minutos de clase que el estudiante no recibe y, por la interrupción que genera, minutos que el grupo tampoco aprovecha plenamente. Pese a ello, en numerosas instituciones educativas el seguimiento de este fenómeno continúa realizándose de forma manual, lo que impide dimensionar su magnitud real y actuar sobre él con base en evidencia.</w:t>
      </w:r>
    </w:p>
    <w:p>
      <w:pPr>
        <w:ind w:firstLine="709"/>
        <w:jc w:val="both"/>
      </w:pPr>
      <w:r>
        <w:rPr>
          <w:rFonts w:ascii="Times New Roman" w:hAnsi="Times New Roman"/>
          <w:b w:val="0"/>
          <w:i w:val="0"/>
          <w:sz w:val="24"/>
        </w:rPr>
        <w:t>El Gimnasio Galileo Galilei no es la excepción. El control de llegadas tarde se lleva en una planilla física en portería, de modo que la información queda dispersa, no se consolida ni se analiza, y no retorna a los estudiantes en forma de retroalimentación. Adicionalmente, el esquema vigente opera únicamente por la vía correctiva: registra el incumplimiento, pero no reconoce el cumplimiento.</w:t>
      </w:r>
    </w:p>
    <w:p>
      <w:pPr>
        <w:ind w:firstLine="709"/>
        <w:jc w:val="both"/>
      </w:pPr>
      <w:r>
        <w:rPr>
          <w:rFonts w:ascii="Times New Roman" w:hAnsi="Times New Roman"/>
          <w:b w:val="0"/>
          <w:i w:val="0"/>
          <w:sz w:val="24"/>
        </w:rPr>
        <w:t>Este trabajo propone una intervención que combina desarrollo de software y evaluación de su efecto. Por un lado, se construye una aplicación web que digitaliza el registro de ingreso mediante códigos QR individuales, sin requerir el uso de teléfonos celulares por parte de los estudiantes. Por otro, sobre ese registro se implementa un sistema de incentivos grupales inspirado en los principios del refuerzo positivo y de la gamificación, y se mide si dicha intervención modifica el comportamiento de llegada de los estudiantes.</w:t>
      </w:r>
    </w:p>
    <w:p>
      <w:pPr>
        <w:ind w:firstLine="709"/>
        <w:jc w:val="both"/>
      </w:pPr>
      <w:r>
        <w:rPr>
          <w:rFonts w:ascii="Times New Roman" w:hAnsi="Times New Roman"/>
          <w:b w:val="0"/>
          <w:i w:val="0"/>
          <w:sz w:val="24"/>
        </w:rPr>
        <w:t>El trabajo no se limita a verificar si el sistema produce una mejora. Interesa igualmente documentar sus efectos adversos: la presión social que un esquema competitivo puede generar entre compañeros de un mismo curso, y el riesgo de que la puntualidad recompensada refleje condiciones de transporte y de contexto familiar antes que esfuerzo individual. Ambos aspectos se incorporan explícitamente al diseño metodológico.</w:t>
      </w:r>
    </w:p>
    <w:p>
      <w:pPr>
        <w:ind w:firstLine="709"/>
        <w:jc w:val="both"/>
      </w:pPr>
      <w:r>
        <w:rPr>
          <w:rFonts w:ascii="Times New Roman" w:hAnsi="Times New Roman"/>
          <w:b w:val="0"/>
          <w:i w:val="0"/>
          <w:sz w:val="24"/>
        </w:rPr>
      </w:r>
    </w:p>
    <w:p>
      <w:pPr>
        <w:pStyle w:val="Heading2"/>
      </w:pPr>
      <w:r>
        <w:t>1.1 Planteamiento del problema</w:t>
      </w:r>
    </w:p>
    <w:p>
      <w:pPr>
        <w:ind w:firstLine="709"/>
        <w:jc w:val="both"/>
      </w:pPr>
      <w:r>
        <w:rPr>
          <w:rFonts w:ascii="Times New Roman" w:hAnsi="Times New Roman"/>
          <w:b w:val="0"/>
          <w:i w:val="0"/>
          <w:sz w:val="24"/>
        </w:rPr>
        <w:t>El procedimiento actual de control de llegadas tarde en el Gimnasio Galileo Galilei presenta tres limitaciones concretas. La primera es de orden informativo: al consignarse en papel, los datos no pueden consolidarse, contrastarse entre periodos ni analizarse por curso, de manera que la institución carece de una medida del tamaño real del fenómeno. La segunda es de orden formativo: el dato no regresa al estudiante, quien no dispone de información sobre su propio comportamiento acumulado ni sobre el de su grupo. La tercera es de orden motivacional: el esquema opera exclusivamente por sanción, sin ningún componente que reconozca a quienes cumplen el horario de forma sostenida.</w:t>
      </w:r>
    </w:p>
    <w:p>
      <w:pPr>
        <w:ind w:firstLine="709"/>
        <w:jc w:val="both"/>
      </w:pPr>
      <w:r>
        <w:rPr>
          <w:rFonts w:ascii="Times New Roman" w:hAnsi="Times New Roman"/>
          <w:b w:val="0"/>
          <w:i w:val="0"/>
          <w:sz w:val="24"/>
        </w:rPr>
        <w:t>La consecuencia más visible de la primera limitación es que el costo académico de las llegadas tarde permanece invisible. Sin registro digital no es posible calcular cuántos minutos de clase se pierden en un periodo determinado, ni establecer si el fenómeno se concentra en ciertos cursos, días de la semana o épocas del año.</w:t>
      </w:r>
    </w:p>
    <w:p>
      <w:pPr>
        <w:ind w:firstLine="709"/>
        <w:jc w:val="both"/>
      </w:pPr>
      <w:r>
        <w:rPr>
          <w:rFonts w:ascii="Times New Roman" w:hAnsi="Times New Roman"/>
          <w:b w:val="0"/>
          <w:i w:val="0"/>
          <w:sz w:val="24"/>
        </w:rPr>
        <w:t>Frente a esta situación, la psicología del aprendizaje ofrece un marco alternativo. Skinner (1953) demostró que la conducta se modifica de manera más estable cuando es seguida de consecuencias reforzantes que cuando se busca suprimirla mediante castigo. Sobre esa base, Ayllon y Azrin (1968) formalizaron la economía de fichas, un procedimiento en el que la conducta deseada se retribuye con unidades acumulables e intercambiables. La gamificación, entendida como el uso de elementos de diseño de juegos en contextos que no son lúdicos (Deterding et al., 2011), traslada esos principios a entornos digitales mediante puntos, niveles y tablas de clasificación.</w:t>
      </w:r>
    </w:p>
    <w:p>
      <w:pPr>
        <w:ind w:firstLine="709"/>
        <w:jc w:val="both"/>
      </w:pPr>
      <w:r>
        <w:rPr>
          <w:rFonts w:ascii="Times New Roman" w:hAnsi="Times New Roman"/>
          <w:b w:val="0"/>
          <w:i w:val="0"/>
          <w:sz w:val="24"/>
        </w:rPr>
        <w:t>No obstante, la evidencia sobre incentivos externos no es unánime. Deci et al. (1999) concluyeron, a partir de un metaanálisis de ciento veintiocho experimentos, que las recompensas tangibles y contingentes pueden erosionar la motivación intrínseca hacia la actividad recompensada. Esta advertencia es particularmente relevante en un contexto escolar, donde el objetivo declarado no es que el estudiante llegue temprano mientras exista un premio, sino que incorpore la puntualidad como hábito.</w:t>
      </w:r>
    </w:p>
    <w:p>
      <w:pPr>
        <w:ind w:firstLine="709"/>
        <w:jc w:val="both"/>
      </w:pPr>
      <w:r>
        <w:rPr>
          <w:rFonts w:ascii="Times New Roman" w:hAnsi="Times New Roman"/>
          <w:b w:val="0"/>
          <w:i w:val="0"/>
          <w:sz w:val="24"/>
        </w:rPr>
        <w:t>A esta tensión se suma un problema de equidad. La hora de llegada de un estudiante de bachillerato no depende únicamente de su voluntad, sino también de la distancia entre su vivienda y la institución, del medio de transporte que utiliza y de la organización de su hogar. Un esquema de recompensas que ignore estos factores corre el riesgo de premiar condiciones socioeconómicas favorables y de penalizar circunstancias que el estudiante no controla. Cuando el incentivo se otorga de forma colectiva, ese riesgo se amplifica, pues el estudiante cuyo transporte falla puede convertirse en objeto de reproche por parte de sus compañeros.</w:t>
      </w:r>
    </w:p>
    <w:p>
      <w:pPr>
        <w:ind w:firstLine="709"/>
        <w:jc w:val="both"/>
      </w:pPr>
      <w:r>
        <w:rPr>
          <w:rFonts w:ascii="Times New Roman" w:hAnsi="Times New Roman"/>
          <w:b w:val="0"/>
          <w:i w:val="0"/>
          <w:sz w:val="24"/>
        </w:rPr>
        <w:t>El problema que aborda este trabajo, en consecuencia, es doble: por una parte, la ausencia de un instrumento que permita registrar y analizar las llegadas tarde en la institución; por otra, el desconocimiento sobre si un esquema de incentivos grupales aplicado a la puntualidad produce efectos favorables o adversos en un colegio con tres cursos de bachillerato y aproximadamente sesenta estudiantes.</w:t>
      </w:r>
    </w:p>
    <w:p>
      <w:pPr>
        <w:ind w:firstLine="709"/>
        <w:jc w:val="both"/>
      </w:pPr>
      <w:r>
        <w:rPr>
          <w:rFonts w:ascii="Times New Roman" w:hAnsi="Times New Roman"/>
          <w:b w:val="0"/>
          <w:i w:val="0"/>
          <w:sz w:val="24"/>
        </w:rPr>
      </w:r>
    </w:p>
    <w:p>
      <w:pPr>
        <w:pStyle w:val="Heading3"/>
      </w:pPr>
      <w:r>
        <w:t>1.1.1 Preguntas problematizadoras</w:t>
      </w:r>
    </w:p>
    <w:p>
      <w:pPr>
        <w:ind w:firstLine="709"/>
        <w:jc w:val="both"/>
      </w:pPr>
      <w:r>
        <w:rPr>
          <w:rFonts w:ascii="Times New Roman" w:hAnsi="Times New Roman"/>
          <w:b w:val="0"/>
          <w:i w:val="0"/>
          <w:sz w:val="24"/>
        </w:rPr>
        <w:t>¿Cómo influye la implementación de un sistema digital de registro de puntualidad con incentivos grupales en el comportamiento de llegada y en la percepción de los estudiantes de noveno, décimo y undécimo grado del Gimnasio Galileo Galilei?</w:t>
      </w:r>
    </w:p>
    <w:p>
      <w:pPr>
        <w:ind w:firstLine="709"/>
        <w:jc w:val="both"/>
      </w:pPr>
      <w:r>
        <w:rPr>
          <w:rFonts w:ascii="Times New Roman" w:hAnsi="Times New Roman"/>
          <w:b w:val="0"/>
          <w:i w:val="0"/>
          <w:sz w:val="24"/>
        </w:rPr>
        <w:t>De esta pregunta principal se derivan las siguientes preguntas orientadoras:</w:t>
      </w:r>
    </w:p>
    <w:p>
      <w:pPr>
        <w:pStyle w:val="ListBullet"/>
        <w:spacing w:line="480" w:lineRule="auto" w:after="0"/>
        <w:ind w:firstLine="0" w:left="709"/>
      </w:pPr>
      <w:r>
        <w:rPr>
          <w:rFonts w:ascii="Times New Roman" w:hAnsi="Times New Roman"/>
          <w:sz w:val="24"/>
        </w:rPr>
        <w:t>¿Varía el porcentaje de llegadas puntuales por curso entre el periodo sin sistema y el periodo con sistema?</w:t>
      </w:r>
    </w:p>
    <w:p>
      <w:pPr>
        <w:pStyle w:val="ListBullet"/>
        <w:spacing w:line="480" w:lineRule="auto" w:after="0"/>
        <w:ind w:firstLine="0" w:left="709"/>
      </w:pPr>
      <w:r>
        <w:rPr>
          <w:rFonts w:ascii="Times New Roman" w:hAnsi="Times New Roman"/>
          <w:sz w:val="24"/>
        </w:rPr>
        <w:t>¿Cuántos minutos de clase se pierden por llegadas tarde en cada uno de los dos periodos?</w:t>
      </w:r>
    </w:p>
    <w:p>
      <w:pPr>
        <w:pStyle w:val="ListBullet"/>
        <w:spacing w:line="480" w:lineRule="auto" w:after="0"/>
        <w:ind w:firstLine="0" w:left="709"/>
      </w:pPr>
      <w:r>
        <w:rPr>
          <w:rFonts w:ascii="Times New Roman" w:hAnsi="Times New Roman"/>
          <w:sz w:val="24"/>
        </w:rPr>
        <w:t>¿Perciben los estudiantes el sistema como una motivación o como una fuente de presión?</w:t>
      </w:r>
    </w:p>
    <w:p>
      <w:pPr>
        <w:pStyle w:val="ListBullet"/>
        <w:spacing w:line="480" w:lineRule="auto" w:after="0"/>
        <w:ind w:firstLine="0" w:left="709"/>
      </w:pPr>
      <w:r>
        <w:rPr>
          <w:rFonts w:ascii="Times New Roman" w:hAnsi="Times New Roman"/>
          <w:sz w:val="24"/>
        </w:rPr>
        <w:t>¿Qué factores ajenos a la voluntad del estudiante inciden en las llegadas tarde registradas?</w:t>
      </w:r>
    </w:p>
    <w:p>
      <w:pPr>
        <w:ind w:firstLine="709"/>
        <w:jc w:val="both"/>
      </w:pPr>
      <w:r>
        <w:rPr>
          <w:rFonts w:ascii="Times New Roman" w:hAnsi="Times New Roman"/>
          <w:b w:val="0"/>
          <w:i w:val="0"/>
          <w:sz w:val="24"/>
        </w:rPr>
      </w:r>
    </w:p>
    <w:p>
      <w:pPr>
        <w:pStyle w:val="Heading2"/>
      </w:pPr>
      <w:r>
        <w:t>1.2 Objetivos</w:t>
      </w:r>
    </w:p>
    <w:p>
      <w:pPr>
        <w:pStyle w:val="Heading3"/>
      </w:pPr>
      <w:r>
        <w:t>1.2.1 Objetivo general</w:t>
      </w:r>
    </w:p>
    <w:p>
      <w:pPr>
        <w:ind w:firstLine="709"/>
        <w:jc w:val="both"/>
      </w:pPr>
      <w:r>
        <w:rPr>
          <w:rFonts w:ascii="Times New Roman" w:hAnsi="Times New Roman"/>
          <w:b w:val="0"/>
          <w:i w:val="0"/>
          <w:sz w:val="24"/>
        </w:rPr>
        <w:t>Desarrollar e implementar un sistema digital de registro de puntualidad con incentivos grupales en el Gimnasio Galileo Galilei, y evaluar su influencia sobre el comportamiento de llegada de los estudiantes de noveno, décimo y undécimo grado.</w:t>
      </w:r>
    </w:p>
    <w:p>
      <w:pPr>
        <w:ind w:firstLine="709"/>
        <w:jc w:val="both"/>
      </w:pPr>
      <w:r>
        <w:rPr>
          <w:rFonts w:ascii="Times New Roman" w:hAnsi="Times New Roman"/>
          <w:b w:val="0"/>
          <w:i w:val="0"/>
          <w:sz w:val="24"/>
        </w:rPr>
      </w:r>
    </w:p>
    <w:p>
      <w:pPr>
        <w:pStyle w:val="Heading3"/>
      </w:pPr>
      <w:r>
        <w:t>1.2.2 Objetivos específicos</w:t>
      </w:r>
    </w:p>
    <w:p>
      <w:pPr>
        <w:ind w:firstLine="709"/>
        <w:jc w:val="both"/>
      </w:pPr>
      <w:r>
        <w:rPr>
          <w:rFonts w:ascii="Times New Roman" w:hAnsi="Times New Roman"/>
          <w:b w:val="0"/>
          <w:i w:val="0"/>
          <w:sz w:val="24"/>
        </w:rPr>
        <w:t>Diseñar y construir una aplicación web que registre la hora de ingreso de los estudiantes mediante la lectura de un código QR individual en portería.</w:t>
      </w:r>
    </w:p>
    <w:p>
      <w:pPr>
        <w:ind w:firstLine="709"/>
        <w:jc w:val="both"/>
      </w:pPr>
      <w:r>
        <w:rPr>
          <w:rFonts w:ascii="Times New Roman" w:hAnsi="Times New Roman"/>
          <w:b w:val="0"/>
          <w:i w:val="0"/>
          <w:sz w:val="24"/>
        </w:rPr>
        <w:t>Reconstruir, a partir de los registros físicos existentes, una línea base de dos semanas que permita la comparación con el periodo de intervención.</w:t>
      </w:r>
    </w:p>
    <w:p>
      <w:pPr>
        <w:ind w:firstLine="709"/>
        <w:jc w:val="both"/>
      </w:pPr>
      <w:r>
        <w:rPr>
          <w:rFonts w:ascii="Times New Roman" w:hAnsi="Times New Roman"/>
          <w:b w:val="0"/>
          <w:i w:val="0"/>
          <w:sz w:val="24"/>
        </w:rPr>
        <w:t>Implementar un esquema de puntuación grupal por curso, acompañado de un tablero de resultados agregados que no exponga la identidad de los estudiantes que llegan tarde.</w:t>
      </w:r>
    </w:p>
    <w:p>
      <w:pPr>
        <w:ind w:firstLine="709"/>
        <w:jc w:val="both"/>
      </w:pPr>
      <w:r>
        <w:rPr>
          <w:rFonts w:ascii="Times New Roman" w:hAnsi="Times New Roman"/>
          <w:b w:val="0"/>
          <w:i w:val="0"/>
          <w:sz w:val="24"/>
        </w:rPr>
        <w:t>Comparar los indicadores de porcentaje de llegadas puntuales y de minutos de clase perdidos entre el periodo de línea base y el periodo de intervención.</w:t>
      </w:r>
    </w:p>
    <w:p>
      <w:pPr>
        <w:ind w:firstLine="709"/>
        <w:jc w:val="both"/>
      </w:pPr>
      <w:r>
        <w:rPr>
          <w:rFonts w:ascii="Times New Roman" w:hAnsi="Times New Roman"/>
          <w:b w:val="0"/>
          <w:i w:val="0"/>
          <w:sz w:val="24"/>
        </w:rPr>
        <w:t>Documentar la percepción de los estudiantes frente al sistema, incluyendo los efectos no deseados que se identifiquen durante el piloto.</w:t>
      </w:r>
    </w:p>
    <w:p>
      <w:pPr>
        <w:ind w:firstLine="709"/>
        <w:jc w:val="both"/>
      </w:pPr>
      <w:r>
        <w:rPr>
          <w:rFonts w:ascii="Times New Roman" w:hAnsi="Times New Roman"/>
          <w:b w:val="0"/>
          <w:i w:val="0"/>
          <w:sz w:val="24"/>
        </w:rPr>
      </w:r>
    </w:p>
    <w:p>
      <w:pPr>
        <w:pStyle w:val="Heading2"/>
      </w:pPr>
      <w:r>
        <w:t>1.3 Justificación</w:t>
      </w:r>
    </w:p>
    <w:p>
      <w:pPr>
        <w:ind w:firstLine="709"/>
        <w:jc w:val="both"/>
      </w:pPr>
      <w:r>
        <w:rPr>
          <w:rFonts w:ascii="Times New Roman" w:hAnsi="Times New Roman"/>
          <w:b w:val="0"/>
          <w:i w:val="0"/>
          <w:sz w:val="24"/>
        </w:rPr>
        <w:t>La pertinencia institucional del proyecto radica en que sustituye un procedimiento manual por uno digital y entrega a la institución una herramienta funcional, sin costo de licenciamiento, que consolida información hoy dispersa en papel y habilita la generación de reportes por curso y por periodo. La institución pasa de disponer de un registro de incumplimientos a disponer de un conjunto de datos analizable.</w:t>
      </w:r>
    </w:p>
    <w:p>
      <w:pPr>
        <w:ind w:firstLine="709"/>
        <w:jc w:val="both"/>
      </w:pPr>
      <w:r>
        <w:rPr>
          <w:rFonts w:ascii="Times New Roman" w:hAnsi="Times New Roman"/>
          <w:b w:val="0"/>
          <w:i w:val="0"/>
          <w:sz w:val="24"/>
        </w:rPr>
        <w:t>La pertinencia formativa se sustenta en el enfoque adoptado. En lugar de reforzar la vía sancionatoria, el proyecto ensaya un esquema de reconocimiento, coherente con los modelos de convivencia positiva y con la evidencia sobre eficacia del refuerzo frente al castigo en la instauración de hábitos. El carácter grupal del incentivo, además, vincula la puntualidad individual con un resultado colectivo, lo que introduce un componente de corresponsabilidad.</w:t>
      </w:r>
    </w:p>
    <w:p>
      <w:pPr>
        <w:ind w:firstLine="709"/>
        <w:jc w:val="both"/>
      </w:pPr>
      <w:r>
        <w:rPr>
          <w:rFonts w:ascii="Times New Roman" w:hAnsi="Times New Roman"/>
          <w:b w:val="0"/>
          <w:i w:val="0"/>
          <w:sz w:val="24"/>
        </w:rPr>
        <w:t>La pertinencia investigativa deriva de que el trabajo produce evidencia propia. Las conclusiones no se apoyan únicamente en literatura secundaria, sino en datos recolectados en la institución mediante un diseño con línea base y periodo de intervención, lo que permite que sean verificables y que las directivas puedan decidir, con base en resultados, si mantienen el sistema una vez concluido el piloto.</w:t>
      </w:r>
    </w:p>
    <w:p>
      <w:pPr>
        <w:ind w:firstLine="709"/>
        <w:jc w:val="both"/>
      </w:pPr>
      <w:r>
        <w:rPr>
          <w:rFonts w:ascii="Times New Roman" w:hAnsi="Times New Roman"/>
          <w:b w:val="0"/>
          <w:i w:val="0"/>
          <w:sz w:val="24"/>
        </w:rPr>
        <w:t>Finalmente, la pertinencia técnica del proyecto se relaciona con el perfil de formación del autor: la construcción del sistema exige aplicar de manera integrada el diseño de bases de datos, el desarrollo de interfaces web, la gestión de roles y permisos y el tratamiento responsable de datos personales de menores de edad.</w:t>
      </w:r>
    </w:p>
    <w:p>
      <w:pPr>
        <w:ind w:firstLine="709"/>
        <w:jc w:val="both"/>
      </w:pPr>
      <w:r>
        <w:rPr>
          <w:rFonts w:ascii="Times New Roman" w:hAnsi="Times New Roman"/>
          <w:b w:val="0"/>
          <w:i w:val="0"/>
          <w:sz w:val="24"/>
        </w:rPr>
      </w:r>
    </w:p>
    <w:p>
      <w:pPr>
        <w:pStyle w:val="Heading2"/>
      </w:pPr>
      <w:r>
        <w:t>1.4 Delimitación y alcance</w:t>
      </w:r>
    </w:p>
    <w:p>
      <w:pPr>
        <w:ind w:firstLine="709"/>
        <w:jc w:val="both"/>
      </w:pPr>
      <w:r>
        <w:rPr>
          <w:rFonts w:ascii="Times New Roman" w:hAnsi="Times New Roman"/>
          <w:b w:val="0"/>
          <w:i w:val="0"/>
          <w:sz w:val="24"/>
        </w:rPr>
        <w:t>El estudio se circunscribe a los estudiantes de noveno, décimo y undécimo grado del Gimnasio Galileo Galilei, únicos cursos de bachillerato con que cuenta la institución, durante el segundo semestre del año 2026. El registro se realiza exclusivamente en el punto de ingreso principal y en el horario de apertura de portería, que cierra a las 7:30 a. m.</w:t>
      </w:r>
    </w:p>
    <w:p>
      <w:pPr>
        <w:ind w:firstLine="709"/>
        <w:jc w:val="both"/>
      </w:pPr>
      <w:r>
        <w:rPr>
          <w:rFonts w:ascii="Times New Roman" w:hAnsi="Times New Roman"/>
          <w:b w:val="0"/>
          <w:i w:val="0"/>
          <w:sz w:val="24"/>
        </w:rPr>
        <w:t>Quedan fuera del alcance el control de salidas, el registro de ausencias completas, la integración con la plataforma académica institucional y el seguimiento posterior a las dos semanas de intervención. El sistema no genera sanciones ni sustituye el conducto regular disciplinario vigente.</w:t>
      </w:r>
    </w:p>
    <w:p>
      <w:r>
        <w:br w:type="page"/>
      </w:r>
    </w:p>
    <w:p>
      <w:pPr>
        <w:pStyle w:val="Heading1"/>
      </w:pPr>
      <w:r>
        <w:t>2. Marco referencial</w:t>
      </w:r>
    </w:p>
    <w:p>
      <w:pPr>
        <w:ind w:firstLine="709"/>
        <w:jc w:val="both"/>
      </w:pPr>
      <w:r>
        <w:rPr>
          <w:rFonts w:ascii="Times New Roman" w:hAnsi="Times New Roman"/>
          <w:b w:val="0"/>
          <w:i w:val="0"/>
          <w:sz w:val="24"/>
        </w:rPr>
        <w:t>Este capítulo reúne los referentes que sustentan la intervención. En primer lugar se exponen las teorías sobre modificación de conducta y motivación que fundamentan el uso de incentivos; en segundo lugar se definen los conceptos operativos empleados; posteriormente se revisan antecedentes de aplicaciones similares; y finalmente se precisa el marco legal que regula el tratamiento de datos personales de menores de edad en Colombia.</w:t>
      </w:r>
    </w:p>
    <w:p>
      <w:pPr>
        <w:ind w:firstLine="709"/>
        <w:jc w:val="both"/>
      </w:pPr>
      <w:r>
        <w:rPr>
          <w:rFonts w:ascii="Times New Roman" w:hAnsi="Times New Roman"/>
          <w:b w:val="0"/>
          <w:i w:val="0"/>
          <w:sz w:val="24"/>
        </w:rPr>
      </w:r>
    </w:p>
    <w:p>
      <w:pPr>
        <w:pStyle w:val="Heading2"/>
      </w:pPr>
      <w:r>
        <w:t>2.1 Marco teórico</w:t>
      </w:r>
    </w:p>
    <w:p>
      <w:pPr>
        <w:pStyle w:val="Heading3"/>
      </w:pPr>
      <w:r>
        <w:t>2.1.1 Condicionamiento operante y refuerzo positivo</w:t>
      </w:r>
    </w:p>
    <w:p>
      <w:pPr>
        <w:ind w:firstLine="709"/>
        <w:jc w:val="both"/>
      </w:pPr>
      <w:r>
        <w:rPr>
          <w:rFonts w:ascii="Times New Roman" w:hAnsi="Times New Roman"/>
          <w:b w:val="0"/>
          <w:i w:val="0"/>
          <w:sz w:val="24"/>
        </w:rPr>
        <w:t>El fundamento conductual del proyecto se encuentra en la teoría del condicionamiento operante formulada por Skinner (1953), según la cual la probabilidad de que una conducta se repita depende de las consecuencias que la siguen. Cuando la conducta es seguida de un estímulo agradable —refuerzo positivo— su frecuencia tiende a incrementarse; cuando es seguida de un estímulo aversivo, tiende a suprimirse, aunque de manera menos estable y con efectos colaterales sobre la relación entre el individuo y quien administra la consecuencia.</w:t>
      </w:r>
    </w:p>
    <w:p>
      <w:pPr>
        <w:ind w:firstLine="709"/>
        <w:jc w:val="both"/>
      </w:pPr>
      <w:r>
        <w:rPr>
          <w:rFonts w:ascii="Times New Roman" w:hAnsi="Times New Roman"/>
          <w:b w:val="0"/>
          <w:i w:val="0"/>
          <w:sz w:val="24"/>
        </w:rPr>
        <w:t>Aplicado al objeto de este trabajo, el planteamiento implica que un esquema centrado en reconocer la llegada puntual podría resultar más eficaz para instaurar el hábito que uno centrado en registrar el retardo, que es el que opera actualmente en la institución.</w:t>
      </w:r>
    </w:p>
    <w:p>
      <w:pPr>
        <w:ind w:firstLine="709"/>
        <w:jc w:val="both"/>
      </w:pPr>
      <w:r>
        <w:rPr>
          <w:rFonts w:ascii="Times New Roman" w:hAnsi="Times New Roman"/>
          <w:b w:val="0"/>
          <w:i w:val="0"/>
          <w:sz w:val="24"/>
        </w:rPr>
      </w:r>
    </w:p>
    <w:p>
      <w:pPr>
        <w:pStyle w:val="Heading3"/>
      </w:pPr>
      <w:r>
        <w:t>2.1.2 Economía de fichas</w:t>
      </w:r>
    </w:p>
    <w:p>
      <w:pPr>
        <w:ind w:firstLine="709"/>
        <w:jc w:val="both"/>
      </w:pPr>
      <w:r>
        <w:rPr>
          <w:rFonts w:ascii="Times New Roman" w:hAnsi="Times New Roman"/>
          <w:b w:val="0"/>
          <w:i w:val="0"/>
          <w:sz w:val="24"/>
        </w:rPr>
        <w:t>Ayllon y Azrin (1968) desarrollaron la economía de fichas como una aplicación sistemática del refuerzo positivo, en la que la conducta deseada se retribuye con unidades simbólicas acumulables que posteriormente se intercambian por reforzadores de respaldo. Este procedimiento ha sido ampliamente utilizado en contextos escolares por tres razones: permite reforzar de manera inmediata sin interrumpir la actividad, hace visible el progreso mediante la acumulación, y separa el momento del refuerzo del momento del intercambio.</w:t>
      </w:r>
    </w:p>
    <w:p>
      <w:pPr>
        <w:ind w:firstLine="709"/>
        <w:jc w:val="both"/>
      </w:pPr>
      <w:r>
        <w:rPr>
          <w:rFonts w:ascii="Times New Roman" w:hAnsi="Times New Roman"/>
          <w:b w:val="0"/>
          <w:i w:val="0"/>
          <w:sz w:val="24"/>
        </w:rPr>
        <w:t>El sistema de puntos propuesto en este trabajo constituye una economía de fichas digital, con la particularidad de que la unidad de acumulación no es el individuo sino el curso.</w:t>
      </w:r>
    </w:p>
    <w:p>
      <w:pPr>
        <w:ind w:firstLine="709"/>
        <w:jc w:val="both"/>
      </w:pPr>
      <w:r>
        <w:rPr>
          <w:rFonts w:ascii="Times New Roman" w:hAnsi="Times New Roman"/>
          <w:b w:val="0"/>
          <w:i w:val="0"/>
          <w:sz w:val="24"/>
        </w:rPr>
      </w:r>
    </w:p>
    <w:p>
      <w:pPr>
        <w:pStyle w:val="Heading3"/>
      </w:pPr>
      <w:r>
        <w:t>2.1.3 Motivación intrínseca y extrínseca</w:t>
      </w:r>
    </w:p>
    <w:p>
      <w:pPr>
        <w:ind w:firstLine="709"/>
        <w:jc w:val="both"/>
      </w:pPr>
      <w:r>
        <w:rPr>
          <w:rFonts w:ascii="Times New Roman" w:hAnsi="Times New Roman"/>
          <w:b w:val="0"/>
          <w:i w:val="0"/>
          <w:sz w:val="24"/>
        </w:rPr>
        <w:t>La teoría de la autodeterminación (Ryan y Deci, 2000) distingue entre la motivación intrínseca, que surge del interés inherente a la actividad, y la motivación extrínseca, que depende de consecuencias externas. Los autores sostienen que la internalización de una conducta se favorece cuando el contexto satisface las necesidades de autonomía, competencia y vínculo social.</w:t>
      </w:r>
    </w:p>
    <w:p>
      <w:pPr>
        <w:ind w:firstLine="709"/>
        <w:jc w:val="both"/>
      </w:pPr>
      <w:r>
        <w:rPr>
          <w:rFonts w:ascii="Times New Roman" w:hAnsi="Times New Roman"/>
          <w:b w:val="0"/>
          <w:i w:val="0"/>
          <w:sz w:val="24"/>
        </w:rPr>
        <w:t>Esta perspectiva introduce una advertencia relevante. Deci et al. (1999) concluyeron, tras revisar ciento veintiocho experimentos, que las recompensas tangibles contingentes al desempeño tienden a disminuir la motivación intrínseca hacia la tarea recompensada. Kohn (1993) llevó ese argumento más lejos al sostener que los programas de incentivos producen obediencia temporal antes que compromiso duradero.</w:t>
      </w:r>
    </w:p>
    <w:p>
      <w:pPr>
        <w:ind w:firstLine="709"/>
        <w:jc w:val="both"/>
      </w:pPr>
      <w:r>
        <w:rPr>
          <w:rFonts w:ascii="Times New Roman" w:hAnsi="Times New Roman"/>
          <w:b w:val="0"/>
          <w:i w:val="0"/>
          <w:sz w:val="24"/>
        </w:rPr>
        <w:t>En consecuencia, el diseño de este proyecto asume que un efecto positivo observado durante dos semanas de intervención no puede interpretarse como evidencia de formación de hábito. Esta restricción se declara explícitamente entre las limitaciones del estudio.</w:t>
      </w:r>
    </w:p>
    <w:p>
      <w:pPr>
        <w:ind w:firstLine="709"/>
        <w:jc w:val="both"/>
      </w:pPr>
      <w:r>
        <w:rPr>
          <w:rFonts w:ascii="Times New Roman" w:hAnsi="Times New Roman"/>
          <w:b w:val="0"/>
          <w:i w:val="0"/>
          <w:sz w:val="24"/>
        </w:rPr>
      </w:r>
    </w:p>
    <w:p>
      <w:pPr>
        <w:pStyle w:val="Heading3"/>
      </w:pPr>
      <w:r>
        <w:t>2.1.4 Gamificación en contextos educativos</w:t>
      </w:r>
    </w:p>
    <w:p>
      <w:pPr>
        <w:ind w:firstLine="709"/>
        <w:jc w:val="both"/>
      </w:pPr>
      <w:r>
        <w:rPr>
          <w:rFonts w:ascii="Times New Roman" w:hAnsi="Times New Roman"/>
          <w:b w:val="0"/>
          <w:i w:val="0"/>
          <w:sz w:val="24"/>
        </w:rPr>
        <w:t>Deterding et al. (2011) definieron la gamificación como el uso de elementos de diseño propios de los juegos en contextos ajenos al juego. Los elementos más frecuentes son los puntos, las insignias y las tablas de clasificación, conocidos por sus siglas en inglés como PBL.</w:t>
      </w:r>
    </w:p>
    <w:p>
      <w:pPr>
        <w:ind w:firstLine="709"/>
        <w:jc w:val="both"/>
      </w:pPr>
      <w:r>
        <w:rPr>
          <w:rFonts w:ascii="Times New Roman" w:hAnsi="Times New Roman"/>
          <w:b w:val="0"/>
          <w:i w:val="0"/>
          <w:sz w:val="24"/>
        </w:rPr>
        <w:t>La evidencia sobre su eficacia es matizada. Hamari et al. (2014), tras revisar los estudios empíricos disponibles, encontraron efectos mayoritariamente positivos pero fuertemente dependientes del contexto y de las características de los participantes. Sailer y Homner (2020), en un metaanálisis posterior, hallaron efectos pequeños pero significativos sobre los resultados conductuales, y advirtieron que las tablas de clasificación pueden desmotivar a quienes ocupan las posiciones inferiores de manera sostenida.</w:t>
      </w:r>
    </w:p>
    <w:p>
      <w:pPr>
        <w:ind w:firstLine="709"/>
        <w:jc w:val="both"/>
      </w:pPr>
      <w:r>
        <w:rPr>
          <w:rFonts w:ascii="Times New Roman" w:hAnsi="Times New Roman"/>
          <w:b w:val="0"/>
          <w:i w:val="0"/>
          <w:sz w:val="24"/>
        </w:rPr>
        <w:t>Este último hallazgo resulta directamente aplicable al presente proyecto, en el que compiten únicamente tres cursos: el grupo que ocupe el último lugar de manera reiterada podría experimentar desmotivación o tensión interna, posibilidad que se contempla en el instrumento de percepción.</w:t>
      </w:r>
    </w:p>
    <w:p>
      <w:pPr>
        <w:ind w:firstLine="709"/>
        <w:jc w:val="both"/>
      </w:pPr>
      <w:r>
        <w:rPr>
          <w:rFonts w:ascii="Times New Roman" w:hAnsi="Times New Roman"/>
          <w:b w:val="0"/>
          <w:i w:val="0"/>
          <w:sz w:val="24"/>
        </w:rPr>
      </w:r>
    </w:p>
    <w:p>
      <w:pPr>
        <w:pStyle w:val="Heading3"/>
      </w:pPr>
      <w:r>
        <w:t>2.1.5 Presión social y responsabilidad colectiva</w:t>
      </w:r>
    </w:p>
    <w:p>
      <w:pPr>
        <w:ind w:firstLine="709"/>
        <w:jc w:val="both"/>
      </w:pPr>
      <w:r>
        <w:rPr>
          <w:rFonts w:ascii="Times New Roman" w:hAnsi="Times New Roman"/>
          <w:b w:val="0"/>
          <w:i w:val="0"/>
          <w:sz w:val="24"/>
        </w:rPr>
        <w:t>La decisión de otorgar el incentivo por curso y no por estudiante introduce un componente de interdependencia. Bandura (1977) señaló que buena parte del aprendizaje social se produce por observación e influencia del grupo de referencia, lo que sugiere que la norma grupal puede operar como reforzador. Sin embargo, esa misma interdependencia implica que el incumplimiento de un miembro afecta el resultado de todos, lo que puede derivar en señalamiento hacia el estudiante que llega tarde.</w:t>
      </w:r>
    </w:p>
    <w:p>
      <w:pPr>
        <w:ind w:firstLine="709"/>
        <w:jc w:val="both"/>
      </w:pPr>
      <w:r>
        <w:rPr>
          <w:rFonts w:ascii="Times New Roman" w:hAnsi="Times New Roman"/>
          <w:b w:val="0"/>
          <w:i w:val="0"/>
          <w:sz w:val="24"/>
        </w:rPr>
        <w:t>Por esta razón, el sistema se diseñó de modo que ningún tablero visible para la comunidad identifique estudiantes individuales. Se reconoce, no obstante, que en cursos de aproximadamente veinte estudiantes esta salvaguarda es parcial, puesto que los compañeros pueden identificar directamente quién ingresó después de la hora.</w:t>
      </w:r>
    </w:p>
    <w:p>
      <w:pPr>
        <w:ind w:firstLine="709"/>
        <w:jc w:val="both"/>
      </w:pPr>
      <w:r>
        <w:rPr>
          <w:rFonts w:ascii="Times New Roman" w:hAnsi="Times New Roman"/>
          <w:b w:val="0"/>
          <w:i w:val="0"/>
          <w:sz w:val="24"/>
        </w:rPr>
      </w:r>
    </w:p>
    <w:p>
      <w:pPr>
        <w:pStyle w:val="Heading2"/>
      </w:pPr>
      <w:r>
        <w:t>2.2 Marco conceptual</w:t>
      </w:r>
    </w:p>
    <w:p>
      <w:pPr>
        <w:ind w:firstLine="709"/>
        <w:jc w:val="both"/>
      </w:pPr>
      <w:r>
        <w:rPr>
          <w:rFonts w:ascii="Times New Roman" w:hAnsi="Times New Roman"/>
          <w:b w:val="0"/>
          <w:i w:val="0"/>
          <w:sz w:val="24"/>
        </w:rPr>
        <w:t>A continuación se precisan los términos empleados de manera operativa en este trabajo.</w:t>
      </w:r>
    </w:p>
    <w:p>
      <w:pPr>
        <w:pStyle w:val="ListBullet"/>
        <w:spacing w:line="480" w:lineRule="auto" w:after="0"/>
        <w:ind w:firstLine="0" w:left="709"/>
      </w:pPr>
      <w:r>
        <w:rPr>
          <w:rFonts w:ascii="Times New Roman" w:hAnsi="Times New Roman"/>
          <w:sz w:val="24"/>
        </w:rPr>
        <w:t>Llegada tarde: ingreso del estudiante a la institución con posterioridad a las 7:30 a. m., hora de cierre de portería.</w:t>
      </w:r>
    </w:p>
    <w:p>
      <w:pPr>
        <w:pStyle w:val="ListBullet"/>
        <w:spacing w:line="480" w:lineRule="auto" w:after="0"/>
        <w:ind w:firstLine="0" w:left="709"/>
      </w:pPr>
      <w:r>
        <w:rPr>
          <w:rFonts w:ascii="Times New Roman" w:hAnsi="Times New Roman"/>
          <w:sz w:val="24"/>
        </w:rPr>
        <w:t>Llegada puntual: ingreso registrado hasta las 7:30 a. m. inclusive.</w:t>
      </w:r>
    </w:p>
    <w:p>
      <w:pPr>
        <w:pStyle w:val="ListBullet"/>
        <w:spacing w:line="480" w:lineRule="auto" w:after="0"/>
        <w:ind w:firstLine="0" w:left="709"/>
      </w:pPr>
      <w:r>
        <w:rPr>
          <w:rFonts w:ascii="Times New Roman" w:hAnsi="Times New Roman"/>
          <w:sz w:val="24"/>
        </w:rPr>
        <w:t>Bonificación por anticipación: puntaje adicional otorgado al ingreso registrado antes de las 7:20 a. m.</w:t>
      </w:r>
    </w:p>
    <w:p>
      <w:pPr>
        <w:pStyle w:val="ListBullet"/>
        <w:spacing w:line="480" w:lineRule="auto" w:after="0"/>
        <w:ind w:firstLine="0" w:left="709"/>
      </w:pPr>
      <w:r>
        <w:rPr>
          <w:rFonts w:ascii="Times New Roman" w:hAnsi="Times New Roman"/>
          <w:sz w:val="24"/>
        </w:rPr>
        <w:t>Minutos de clase perdidos: diferencia, expresada en minutos, entre la hora de ingreso registrada y las 7:30 a. m., acumulada para todas las llegadas tarde de un periodo.</w:t>
      </w:r>
    </w:p>
    <w:p>
      <w:pPr>
        <w:pStyle w:val="ListBullet"/>
        <w:spacing w:line="480" w:lineRule="auto" w:after="0"/>
        <w:ind w:firstLine="0" w:left="709"/>
      </w:pPr>
      <w:r>
        <w:rPr>
          <w:rFonts w:ascii="Times New Roman" w:hAnsi="Times New Roman"/>
          <w:sz w:val="24"/>
        </w:rPr>
        <w:t>Puntaje del curso: promedio de puntos obtenidos por estudiante matriculado en el curso durante el periodo, empleado para hacer comparables grupos de distinto tamaño.</w:t>
      </w:r>
    </w:p>
    <w:p>
      <w:pPr>
        <w:pStyle w:val="ListBullet"/>
        <w:spacing w:line="480" w:lineRule="auto" w:after="0"/>
        <w:ind w:firstLine="0" w:left="709"/>
      </w:pPr>
      <w:r>
        <w:rPr>
          <w:rFonts w:ascii="Times New Roman" w:hAnsi="Times New Roman"/>
          <w:sz w:val="24"/>
        </w:rPr>
        <w:t>Línea base: periodo de dos semanas previo a la intervención, cuyos datos se reconstruyen a partir de la planilla física y durante el cual los estudiantes desconocen la existencia del sistema.</w:t>
      </w:r>
    </w:p>
    <w:p>
      <w:pPr>
        <w:pStyle w:val="ListBullet"/>
        <w:spacing w:line="480" w:lineRule="auto" w:after="0"/>
        <w:ind w:firstLine="0" w:left="709"/>
      </w:pPr>
      <w:r>
        <w:rPr>
          <w:rFonts w:ascii="Times New Roman" w:hAnsi="Times New Roman"/>
          <w:sz w:val="24"/>
        </w:rPr>
        <w:t>Periodo de intervención: periodo de dos semanas durante el cual opera el registro digital y se publica el ranking entre cursos.</w:t>
      </w:r>
    </w:p>
    <w:p>
      <w:pPr>
        <w:pStyle w:val="ListBullet"/>
        <w:spacing w:line="480" w:lineRule="auto" w:after="0"/>
        <w:ind w:firstLine="0" w:left="709"/>
      </w:pPr>
      <w:r>
        <w:rPr>
          <w:rFonts w:ascii="Times New Roman" w:hAnsi="Times New Roman"/>
          <w:sz w:val="24"/>
        </w:rPr>
        <w:t>Código QR: representación gráfica bidimensional de un identificador único asignado a cada estudiante, impresa en un carné físico.</w:t>
      </w:r>
    </w:p>
    <w:p>
      <w:pPr>
        <w:pStyle w:val="ListBullet"/>
        <w:spacing w:line="480" w:lineRule="auto" w:after="0"/>
        <w:ind w:firstLine="0" w:left="709"/>
      </w:pPr>
      <w:r>
        <w:rPr>
          <w:rFonts w:ascii="Times New Roman" w:hAnsi="Times New Roman"/>
          <w:sz w:val="24"/>
        </w:rPr>
        <w:t>Sello de tiempo del servidor: hora registrada por el servidor en el momento de recibir el escaneo, empleada en lugar de la hora del dispositivo para impedir su manipulación.</w:t>
      </w:r>
    </w:p>
    <w:p>
      <w:pPr>
        <w:ind w:firstLine="709"/>
        <w:jc w:val="both"/>
      </w:pPr>
      <w:r>
        <w:rPr>
          <w:rFonts w:ascii="Times New Roman" w:hAnsi="Times New Roman"/>
          <w:b w:val="0"/>
          <w:i w:val="0"/>
          <w:sz w:val="24"/>
        </w:rPr>
      </w:r>
    </w:p>
    <w:p>
      <w:pPr>
        <w:pStyle w:val="Heading2"/>
      </w:pPr>
      <w:r>
        <w:t>2.3 Antecedentes</w:t>
      </w:r>
    </w:p>
    <w:p>
      <w:pPr>
        <w:ind w:firstLine="709"/>
        <w:jc w:val="both"/>
      </w:pPr>
      <w:r>
        <w:rPr>
          <w:rFonts w:ascii="Times New Roman" w:hAnsi="Times New Roman"/>
          <w:i/>
          <w:color w:val="808080"/>
          <w:sz w:val="24"/>
        </w:rPr>
        <w:t>[PENDIENTE] Incluir de dos a cuatro antecedentes: al menos un trabajo de grado o artículo sobre control de asistencia mediante códigos QR o RFID en instituciones educativas, y al menos un estudio sobre gamificación aplicada a la asistencia o la puntualidad escolar. Para cada uno, indicar autor, año, objetivo, metodología, resultado principal y en qué se diferencia del presente trabajo.</w:t>
      </w:r>
    </w:p>
    <w:p>
      <w:pPr>
        <w:ind w:firstLine="709"/>
        <w:jc w:val="both"/>
      </w:pPr>
      <w:r>
        <w:rPr>
          <w:rFonts w:ascii="Times New Roman" w:hAnsi="Times New Roman"/>
          <w:b w:val="0"/>
          <w:i w:val="0"/>
          <w:sz w:val="24"/>
        </w:rPr>
      </w:r>
    </w:p>
    <w:p>
      <w:pPr>
        <w:pStyle w:val="Heading2"/>
      </w:pPr>
      <w:r>
        <w:t>2.4 Marco legal</w:t>
      </w:r>
    </w:p>
    <w:p>
      <w:pPr>
        <w:ind w:firstLine="709"/>
        <w:jc w:val="both"/>
      </w:pPr>
      <w:r>
        <w:rPr>
          <w:rFonts w:ascii="Times New Roman" w:hAnsi="Times New Roman"/>
          <w:b w:val="0"/>
          <w:i w:val="0"/>
          <w:sz w:val="24"/>
        </w:rPr>
        <w:t>El tratamiento de los datos recolectados se rige por la Ley 1581 de 2012, que establece el régimen general de protección de datos personales en Colombia, y por su decreto reglamentario 1377 de 2013. Dado que los titulares de los datos son menores de edad, resulta igualmente aplicable la Ley 1098 de 2006, Código de la Infancia y la Adolescencia, en lo referente a la protección de su intimidad.</w:t>
      </w:r>
    </w:p>
    <w:p>
      <w:pPr>
        <w:ind w:firstLine="709"/>
        <w:jc w:val="both"/>
      </w:pPr>
      <w:r>
        <w:rPr>
          <w:rFonts w:ascii="Times New Roman" w:hAnsi="Times New Roman"/>
          <w:b w:val="0"/>
          <w:i w:val="0"/>
          <w:sz w:val="24"/>
        </w:rPr>
        <w:t>En atención a este marco, el proyecto recolecta únicamente los datos estrictamente necesarios para su finalidad —nombre, curso, identificador de carné y hora de ingreso—, restringe el acceso al dato individual a las personas que ya cuentan con esa información en el procedimiento vigente, y prevé la entrega o supresión de la base de datos al finalizar el proyecto.</w:t>
      </w:r>
    </w:p>
    <w:p>
      <w:pPr>
        <w:ind w:firstLine="709"/>
        <w:jc w:val="both"/>
      </w:pPr>
      <w:r>
        <w:rPr>
          <w:rFonts w:ascii="Times New Roman" w:hAnsi="Times New Roman"/>
          <w:i/>
          <w:color w:val="808080"/>
          <w:sz w:val="24"/>
        </w:rPr>
        <w:t>[PENDIENTE] Verificar con la institución si su política de tratamiento de datos exige un formato específico de autorización, e incluirlo como Apéndice B.</w:t>
      </w:r>
    </w:p>
    <w:p>
      <w:r>
        <w:br w:type="page"/>
      </w:r>
    </w:p>
    <w:p>
      <w:pPr>
        <w:pStyle w:val="Heading1"/>
      </w:pPr>
      <w:r>
        <w:t>3. Metodología</w:t>
      </w:r>
    </w:p>
    <w:p>
      <w:pPr>
        <w:pStyle w:val="Heading2"/>
      </w:pPr>
      <w:r>
        <w:t>3.1 Enfoque y tipo de investigación</w:t>
      </w:r>
    </w:p>
    <w:p>
      <w:pPr>
        <w:ind w:firstLine="709"/>
        <w:jc w:val="both"/>
      </w:pPr>
      <w:r>
        <w:rPr>
          <w:rFonts w:ascii="Times New Roman" w:hAnsi="Times New Roman"/>
          <w:b w:val="0"/>
          <w:i w:val="0"/>
          <w:sz w:val="24"/>
        </w:rPr>
        <w:t>El estudio adopta un enfoque mixto de tipo explicativo secuencial. El componente cuantitativo corresponde a la comparación de indicadores objetivos de puntualidad entre dos periodos consecutivos; el componente cualitativo, aplicado con posterioridad, corresponde a una encuesta de percepción cuyo propósito es interpretar los resultados numéricos y detectar efectos no contemplados en los indicadores.</w:t>
      </w:r>
    </w:p>
    <w:p>
      <w:pPr>
        <w:ind w:firstLine="709"/>
        <w:jc w:val="both"/>
      </w:pPr>
      <w:r>
        <w:rPr>
          <w:rFonts w:ascii="Times New Roman" w:hAnsi="Times New Roman"/>
          <w:b w:val="0"/>
          <w:i w:val="0"/>
          <w:sz w:val="24"/>
        </w:rPr>
      </w:r>
    </w:p>
    <w:p>
      <w:pPr>
        <w:pStyle w:val="Heading2"/>
      </w:pPr>
      <w:r>
        <w:t>3.2 Población y muestra</w:t>
      </w:r>
    </w:p>
    <w:p>
      <w:pPr>
        <w:ind w:firstLine="709"/>
        <w:jc w:val="both"/>
      </w:pPr>
      <w:r>
        <w:rPr>
          <w:rFonts w:ascii="Times New Roman" w:hAnsi="Times New Roman"/>
          <w:b w:val="0"/>
          <w:i w:val="0"/>
          <w:sz w:val="24"/>
        </w:rPr>
        <w:t>La población está constituida por la totalidad de los estudiantes de bachillerato del Gimnasio Galileo Galilei, distribuidos en los grados noveno, décimo y undécimo, con un promedio aproximado de veinte estudiantes por curso para un total cercano a sesenta participantes. Dado que la institución cuenta únicamente con estos tres cursos, no se aplica un procedimiento de muestreo: la muestra coincide con la población.</w:t>
      </w:r>
    </w:p>
    <w:p>
      <w:pPr>
        <w:ind w:firstLine="709"/>
        <w:jc w:val="both"/>
      </w:pPr>
      <w:r>
        <w:rPr>
          <w:rFonts w:ascii="Times New Roman" w:hAnsi="Times New Roman"/>
          <w:b w:val="0"/>
          <w:i w:val="0"/>
          <w:sz w:val="24"/>
        </w:rPr>
      </w:r>
    </w:p>
    <w:p>
      <w:pPr>
        <w:pStyle w:val="Heading2"/>
      </w:pPr>
      <w:r>
        <w:t>3.3 Diseño de la intervención</w:t>
      </w:r>
    </w:p>
    <w:p>
      <w:pPr>
        <w:ind w:firstLine="709"/>
        <w:jc w:val="both"/>
      </w:pPr>
      <w:r>
        <w:rPr>
          <w:rFonts w:ascii="Times New Roman" w:hAnsi="Times New Roman"/>
          <w:b w:val="0"/>
          <w:i w:val="0"/>
          <w:sz w:val="24"/>
        </w:rPr>
        <w:t>Al no existir cursos adicionales que puedan operar como grupo de control paralelo, se adopta un diseño de medidas repetidas de tipo antes-después sobre los mismos grupos. La comparación se establece entre dos periodos consecutivos de dos semanas cada uno.</w:t>
      </w:r>
    </w:p>
    <w:p>
      <w:pPr>
        <w:ind w:firstLine="709"/>
        <w:jc w:val="both"/>
      </w:pPr>
      <w:r>
        <w:rPr>
          <w:rFonts w:ascii="Times New Roman" w:hAnsi="Times New Roman"/>
          <w:b w:val="0"/>
          <w:i w:val="0"/>
          <w:sz w:val="24"/>
        </w:rPr>
        <w:t>Durante el primer periodo, denominado línea base, los datos se reconstruyen a partir de la planilla física existente y los estudiantes desconocen tanto la existencia del sistema como el esquema de puntos. Durante el segundo periodo, denominado de intervención, opera el registro digital, se socializa el esquema de puntuación y se publica diariamente el ranking entre cursos.</w:t>
      </w:r>
    </w:p>
    <w:p>
      <w:pPr>
        <w:ind w:firstLine="709"/>
        <w:jc w:val="both"/>
      </w:pPr>
      <w:r>
        <w:rPr>
          <w:rFonts w:ascii="Times New Roman" w:hAnsi="Times New Roman"/>
          <w:b w:val="0"/>
          <w:i w:val="0"/>
          <w:sz w:val="24"/>
        </w:rPr>
        <w:t>La competencia se establece entre los tres cursos, de modo que cada grupo actúa simultáneamente como participante y como referente comparativo de los otros dos.</w:t>
      </w:r>
    </w:p>
    <w:p>
      <w:pPr>
        <w:ind w:firstLine="709"/>
        <w:jc w:val="both"/>
      </w:pPr>
      <w:r>
        <w:rPr>
          <w:rFonts w:ascii="Times New Roman" w:hAnsi="Times New Roman"/>
          <w:b w:val="0"/>
          <w:i w:val="0"/>
          <w:sz w:val="24"/>
        </w:rPr>
      </w:r>
    </w:p>
    <w:p>
      <w:pPr>
        <w:pStyle w:val="Heading2"/>
      </w:pPr>
      <w:r>
        <w:t>3.4 Variables e indicadores</w:t>
      </w:r>
    </w:p>
    <w:p>
      <w:pPr>
        <w:spacing w:line="240" w:lineRule="auto"/>
        <w:ind w:firstLine="0"/>
        <w:jc w:val="left"/>
      </w:pPr>
      <w:r>
        <w:rPr>
          <w:rFonts w:ascii="Times New Roman" w:hAnsi="Times New Roman"/>
          <w:b/>
          <w:sz w:val="24"/>
        </w:rPr>
        <w:t>Tabla 1</w:t>
      </w:r>
    </w:p>
    <w:p>
      <w:pPr>
        <w:spacing w:line="240" w:lineRule="auto"/>
        <w:ind w:firstLine="0"/>
      </w:pPr>
      <w:r>
        <w:rPr>
          <w:rFonts w:ascii="Times New Roman" w:hAnsi="Times New Roman"/>
          <w:i/>
          <w:sz w:val="24"/>
        </w:rPr>
        <w:t>Operacionalización de variables</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2340"/>
        <w:gridCol w:w="2340"/>
        <w:gridCol w:w="2340"/>
        <w:gridCol w:w="2340"/>
      </w:tblGrid>
      <w:tr>
        <w:tc>
          <w:tcPr>
            <w:tcW w:type="dxa" w:w="2041"/>
            <w:tcBorders>
              <w:top w:val="single" w:sz="8" w:color="000000"/>
              <w:bottom w:val="single" w:sz="8" w:color="000000"/>
            </w:tcBorders>
          </w:tcPr>
          <w:p>
            <w:pPr>
              <w:spacing w:line="240" w:lineRule="auto" w:after="40" w:before="40"/>
              <w:ind w:firstLine="0"/>
              <w:jc w:val="left"/>
            </w:pPr>
            <w:r/>
            <w:r>
              <w:rPr>
                <w:rFonts w:ascii="Times New Roman" w:hAnsi="Times New Roman"/>
                <w:b/>
                <w:sz w:val="20"/>
              </w:rPr>
              <w:t>Variable</w:t>
            </w:r>
          </w:p>
        </w:tc>
        <w:tc>
          <w:tcPr>
            <w:tcW w:type="dxa" w:w="1474"/>
            <w:tcBorders>
              <w:top w:val="single" w:sz="8" w:color="000000"/>
              <w:bottom w:val="single" w:sz="8" w:color="000000"/>
            </w:tcBorders>
          </w:tcPr>
          <w:p>
            <w:pPr>
              <w:spacing w:line="240" w:lineRule="auto" w:after="40" w:before="40"/>
              <w:ind w:firstLine="0"/>
              <w:jc w:val="left"/>
            </w:pPr>
            <w:r/>
            <w:r>
              <w:rPr>
                <w:rFonts w:ascii="Times New Roman" w:hAnsi="Times New Roman"/>
                <w:b/>
                <w:sz w:val="20"/>
              </w:rPr>
              <w:t>Tipo</w:t>
            </w:r>
          </w:p>
        </w:tc>
        <w:tc>
          <w:tcPr>
            <w:tcW w:type="dxa" w:w="3515"/>
            <w:tcBorders>
              <w:top w:val="single" w:sz="8" w:color="000000"/>
              <w:bottom w:val="single" w:sz="8" w:color="000000"/>
            </w:tcBorders>
          </w:tcPr>
          <w:p>
            <w:pPr>
              <w:spacing w:line="240" w:lineRule="auto" w:after="40" w:before="40"/>
              <w:ind w:firstLine="0"/>
              <w:jc w:val="left"/>
            </w:pPr>
            <w:r/>
            <w:r>
              <w:rPr>
                <w:rFonts w:ascii="Times New Roman" w:hAnsi="Times New Roman"/>
                <w:b/>
                <w:sz w:val="20"/>
              </w:rPr>
              <w:t>Indicador</w:t>
            </w:r>
          </w:p>
        </w:tc>
        <w:tc>
          <w:tcPr>
            <w:tcW w:type="dxa" w:w="2494"/>
            <w:tcBorders>
              <w:top w:val="single" w:sz="8" w:color="000000"/>
              <w:bottom w:val="single" w:sz="8" w:color="000000"/>
            </w:tcBorders>
          </w:tcPr>
          <w:p>
            <w:pPr>
              <w:spacing w:line="240" w:lineRule="auto" w:after="40" w:before="40"/>
              <w:ind w:firstLine="0"/>
              <w:jc w:val="left"/>
            </w:pPr>
            <w:r/>
            <w:r>
              <w:rPr>
                <w:rFonts w:ascii="Times New Roman" w:hAnsi="Times New Roman"/>
                <w:b/>
                <w:sz w:val="20"/>
              </w:rPr>
              <w:t>Instrumento</w:t>
            </w:r>
          </w:p>
        </w:tc>
      </w:tr>
      <w:tr>
        <w:tc>
          <w:tcPr>
            <w:tcW w:type="dxa" w:w="2041"/>
          </w:tcPr>
          <w:p>
            <w:pPr>
              <w:spacing w:line="240" w:lineRule="auto" w:after="40" w:before="40"/>
              <w:ind w:firstLine="0"/>
              <w:jc w:val="left"/>
            </w:pPr>
            <w:r/>
            <w:r>
              <w:rPr>
                <w:rFonts w:ascii="Times New Roman" w:hAnsi="Times New Roman"/>
                <w:b w:val="0"/>
                <w:sz w:val="20"/>
              </w:rPr>
              <w:t>Sistema de incentivos grupales</w:t>
            </w:r>
          </w:p>
        </w:tc>
        <w:tc>
          <w:tcPr>
            <w:tcW w:type="dxa" w:w="1474"/>
          </w:tcPr>
          <w:p>
            <w:pPr>
              <w:spacing w:line="240" w:lineRule="auto" w:after="40" w:before="40"/>
              <w:ind w:firstLine="0"/>
              <w:jc w:val="left"/>
            </w:pPr>
            <w:r/>
            <w:r>
              <w:rPr>
                <w:rFonts w:ascii="Times New Roman" w:hAnsi="Times New Roman"/>
                <w:b w:val="0"/>
                <w:sz w:val="20"/>
              </w:rPr>
              <w:t>Independiente</w:t>
            </w:r>
          </w:p>
        </w:tc>
        <w:tc>
          <w:tcPr>
            <w:tcW w:type="dxa" w:w="3515"/>
          </w:tcPr>
          <w:p>
            <w:pPr>
              <w:spacing w:line="240" w:lineRule="auto" w:after="40" w:before="40"/>
              <w:ind w:firstLine="0"/>
              <w:jc w:val="left"/>
            </w:pPr>
            <w:r/>
            <w:r>
              <w:rPr>
                <w:rFonts w:ascii="Times New Roman" w:hAnsi="Times New Roman"/>
                <w:b w:val="0"/>
                <w:sz w:val="20"/>
              </w:rPr>
              <w:t>Presencia o ausencia del sistema en el periodo</w:t>
            </w:r>
          </w:p>
        </w:tc>
        <w:tc>
          <w:tcPr>
            <w:tcW w:type="dxa" w:w="2494"/>
          </w:tcPr>
          <w:p>
            <w:pPr>
              <w:spacing w:line="240" w:lineRule="auto" w:after="40" w:before="40"/>
              <w:ind w:firstLine="0"/>
              <w:jc w:val="left"/>
            </w:pPr>
            <w:r/>
            <w:r>
              <w:rPr>
                <w:rFonts w:ascii="Times New Roman" w:hAnsi="Times New Roman"/>
                <w:b w:val="0"/>
                <w:sz w:val="20"/>
              </w:rPr>
              <w:t>Diseño del piloto</w:t>
            </w:r>
          </w:p>
        </w:tc>
      </w:tr>
      <w:tr>
        <w:tc>
          <w:tcPr>
            <w:tcW w:type="dxa" w:w="2041"/>
          </w:tcPr>
          <w:p>
            <w:pPr>
              <w:spacing w:line="240" w:lineRule="auto" w:after="40" w:before="40"/>
              <w:ind w:firstLine="0"/>
              <w:jc w:val="left"/>
            </w:pPr>
            <w:r/>
            <w:r>
              <w:rPr>
                <w:rFonts w:ascii="Times New Roman" w:hAnsi="Times New Roman"/>
                <w:b w:val="0"/>
                <w:sz w:val="20"/>
              </w:rPr>
              <w:t>Puntualidad</w:t>
            </w:r>
          </w:p>
        </w:tc>
        <w:tc>
          <w:tcPr>
            <w:tcW w:type="dxa" w:w="1474"/>
          </w:tcPr>
          <w:p>
            <w:pPr>
              <w:spacing w:line="240" w:lineRule="auto" w:after="40" w:before="40"/>
              <w:ind w:firstLine="0"/>
              <w:jc w:val="left"/>
            </w:pPr>
            <w:r/>
            <w:r>
              <w:rPr>
                <w:rFonts w:ascii="Times New Roman" w:hAnsi="Times New Roman"/>
                <w:b w:val="0"/>
                <w:sz w:val="20"/>
              </w:rPr>
              <w:t>Dependiente</w:t>
            </w:r>
          </w:p>
        </w:tc>
        <w:tc>
          <w:tcPr>
            <w:tcW w:type="dxa" w:w="3515"/>
          </w:tcPr>
          <w:p>
            <w:pPr>
              <w:spacing w:line="240" w:lineRule="auto" w:after="40" w:before="40"/>
              <w:ind w:firstLine="0"/>
              <w:jc w:val="left"/>
            </w:pPr>
            <w:r/>
            <w:r>
              <w:rPr>
                <w:rFonts w:ascii="Times New Roman" w:hAnsi="Times New Roman"/>
                <w:b w:val="0"/>
                <w:sz w:val="20"/>
              </w:rPr>
              <w:t>Porcentaje de ingresos registrados hasta las 7:30 a. m. sobre el total de jornadas esperadas por curso</w:t>
            </w:r>
          </w:p>
        </w:tc>
        <w:tc>
          <w:tcPr>
            <w:tcW w:type="dxa" w:w="2494"/>
          </w:tcPr>
          <w:p>
            <w:pPr>
              <w:spacing w:line="240" w:lineRule="auto" w:after="40" w:before="40"/>
              <w:ind w:firstLine="0"/>
              <w:jc w:val="left"/>
            </w:pPr>
            <w:r/>
            <w:r>
              <w:rPr>
                <w:rFonts w:ascii="Times New Roman" w:hAnsi="Times New Roman"/>
                <w:b w:val="0"/>
                <w:sz w:val="20"/>
              </w:rPr>
              <w:t>Base de datos del sistema y planilla física</w:t>
            </w:r>
          </w:p>
        </w:tc>
      </w:tr>
      <w:tr>
        <w:tc>
          <w:tcPr>
            <w:tcW w:type="dxa" w:w="2041"/>
          </w:tcPr>
          <w:p>
            <w:pPr>
              <w:spacing w:line="240" w:lineRule="auto" w:after="40" w:before="40"/>
              <w:ind w:firstLine="0"/>
              <w:jc w:val="left"/>
            </w:pPr>
            <w:r/>
            <w:r>
              <w:rPr>
                <w:rFonts w:ascii="Times New Roman" w:hAnsi="Times New Roman"/>
                <w:b w:val="0"/>
                <w:sz w:val="20"/>
              </w:rPr>
              <w:t>Tiempo de clase perdido</w:t>
            </w:r>
          </w:p>
        </w:tc>
        <w:tc>
          <w:tcPr>
            <w:tcW w:type="dxa" w:w="1474"/>
          </w:tcPr>
          <w:p>
            <w:pPr>
              <w:spacing w:line="240" w:lineRule="auto" w:after="40" w:before="40"/>
              <w:ind w:firstLine="0"/>
              <w:jc w:val="left"/>
            </w:pPr>
            <w:r/>
            <w:r>
              <w:rPr>
                <w:rFonts w:ascii="Times New Roman" w:hAnsi="Times New Roman"/>
                <w:b w:val="0"/>
                <w:sz w:val="20"/>
              </w:rPr>
              <w:t>Dependiente</w:t>
            </w:r>
          </w:p>
        </w:tc>
        <w:tc>
          <w:tcPr>
            <w:tcW w:type="dxa" w:w="3515"/>
          </w:tcPr>
          <w:p>
            <w:pPr>
              <w:spacing w:line="240" w:lineRule="auto" w:after="40" w:before="40"/>
              <w:ind w:firstLine="0"/>
              <w:jc w:val="left"/>
            </w:pPr>
            <w:r/>
            <w:r>
              <w:rPr>
                <w:rFonts w:ascii="Times New Roman" w:hAnsi="Times New Roman"/>
                <w:b w:val="0"/>
                <w:sz w:val="20"/>
              </w:rPr>
              <w:t>Sumatoria de minutos transcurridos entre las 7:30 a. m. y la hora de ingreso, por curso y periodo</w:t>
            </w:r>
          </w:p>
        </w:tc>
        <w:tc>
          <w:tcPr>
            <w:tcW w:type="dxa" w:w="2494"/>
          </w:tcPr>
          <w:p>
            <w:pPr>
              <w:spacing w:line="240" w:lineRule="auto" w:after="40" w:before="40"/>
              <w:ind w:firstLine="0"/>
              <w:jc w:val="left"/>
            </w:pPr>
            <w:r/>
            <w:r>
              <w:rPr>
                <w:rFonts w:ascii="Times New Roman" w:hAnsi="Times New Roman"/>
                <w:b w:val="0"/>
                <w:sz w:val="20"/>
              </w:rPr>
              <w:t>Base de datos del sistema y planilla física</w:t>
            </w:r>
          </w:p>
        </w:tc>
      </w:tr>
      <w:tr>
        <w:tc>
          <w:tcPr>
            <w:tcW w:type="dxa" w:w="2041"/>
          </w:tcPr>
          <w:p>
            <w:pPr>
              <w:spacing w:line="240" w:lineRule="auto" w:after="40" w:before="40"/>
              <w:ind w:firstLine="0"/>
              <w:jc w:val="left"/>
            </w:pPr>
            <w:r/>
            <w:r>
              <w:rPr>
                <w:rFonts w:ascii="Times New Roman" w:hAnsi="Times New Roman"/>
                <w:b w:val="0"/>
                <w:sz w:val="20"/>
              </w:rPr>
              <w:t>Percepción del sistema</w:t>
            </w:r>
          </w:p>
        </w:tc>
        <w:tc>
          <w:tcPr>
            <w:tcW w:type="dxa" w:w="1474"/>
          </w:tcPr>
          <w:p>
            <w:pPr>
              <w:spacing w:line="240" w:lineRule="auto" w:after="40" w:before="40"/>
              <w:ind w:firstLine="0"/>
              <w:jc w:val="left"/>
            </w:pPr>
            <w:r/>
            <w:r>
              <w:rPr>
                <w:rFonts w:ascii="Times New Roman" w:hAnsi="Times New Roman"/>
                <w:b w:val="0"/>
                <w:sz w:val="20"/>
              </w:rPr>
              <w:t>Dependiente</w:t>
            </w:r>
          </w:p>
        </w:tc>
        <w:tc>
          <w:tcPr>
            <w:tcW w:type="dxa" w:w="3515"/>
          </w:tcPr>
          <w:p>
            <w:pPr>
              <w:spacing w:line="240" w:lineRule="auto" w:after="40" w:before="40"/>
              <w:ind w:firstLine="0"/>
              <w:jc w:val="left"/>
            </w:pPr>
            <w:r/>
            <w:r>
              <w:rPr>
                <w:rFonts w:ascii="Times New Roman" w:hAnsi="Times New Roman"/>
                <w:b w:val="0"/>
                <w:sz w:val="20"/>
              </w:rPr>
              <w:t>Distribución de respuestas sobre motivación, presión percibida y acuerdo con el esquema</w:t>
            </w:r>
          </w:p>
        </w:tc>
        <w:tc>
          <w:tcPr>
            <w:tcW w:type="dxa" w:w="2494"/>
          </w:tcPr>
          <w:p>
            <w:pPr>
              <w:spacing w:line="240" w:lineRule="auto" w:after="40" w:before="40"/>
              <w:ind w:firstLine="0"/>
              <w:jc w:val="left"/>
            </w:pPr>
            <w:r/>
            <w:r>
              <w:rPr>
                <w:rFonts w:ascii="Times New Roman" w:hAnsi="Times New Roman"/>
                <w:b w:val="0"/>
                <w:sz w:val="20"/>
              </w:rPr>
              <w:t>Encuesta de percepción (Apéndice C)</w:t>
            </w:r>
          </w:p>
        </w:tc>
      </w:tr>
      <w:tr>
        <w:tc>
          <w:tcPr>
            <w:tcW w:type="dxa" w:w="2041"/>
            <w:tcBorders>
              <w:bottom w:val="single" w:sz="8" w:color="000000"/>
            </w:tcBorders>
          </w:tcPr>
          <w:p>
            <w:pPr>
              <w:spacing w:line="240" w:lineRule="auto" w:after="40" w:before="40"/>
              <w:ind w:firstLine="0"/>
              <w:jc w:val="left"/>
            </w:pPr>
            <w:r/>
            <w:r>
              <w:rPr>
                <w:rFonts w:ascii="Times New Roman" w:hAnsi="Times New Roman"/>
                <w:b w:val="0"/>
                <w:sz w:val="20"/>
              </w:rPr>
              <w:t>Factores de transporte</w:t>
            </w:r>
          </w:p>
        </w:tc>
        <w:tc>
          <w:tcPr>
            <w:tcW w:type="dxa" w:w="1474"/>
            <w:tcBorders>
              <w:bottom w:val="single" w:sz="8" w:color="000000"/>
            </w:tcBorders>
          </w:tcPr>
          <w:p>
            <w:pPr>
              <w:spacing w:line="240" w:lineRule="auto" w:after="40" w:before="40"/>
              <w:ind w:firstLine="0"/>
              <w:jc w:val="left"/>
            </w:pPr>
            <w:r/>
            <w:r>
              <w:rPr>
                <w:rFonts w:ascii="Times New Roman" w:hAnsi="Times New Roman"/>
                <w:b w:val="0"/>
                <w:sz w:val="20"/>
              </w:rPr>
              <w:t>Interviniente</w:t>
            </w:r>
          </w:p>
        </w:tc>
        <w:tc>
          <w:tcPr>
            <w:tcW w:type="dxa" w:w="3515"/>
            <w:tcBorders>
              <w:bottom w:val="single" w:sz="8" w:color="000000"/>
            </w:tcBorders>
          </w:tcPr>
          <w:p>
            <w:pPr>
              <w:spacing w:line="240" w:lineRule="auto" w:after="40" w:before="40"/>
              <w:ind w:firstLine="0"/>
              <w:jc w:val="left"/>
            </w:pPr>
            <w:r/>
            <w:r>
              <w:rPr>
                <w:rFonts w:ascii="Times New Roman" w:hAnsi="Times New Roman"/>
                <w:b w:val="0"/>
                <w:sz w:val="20"/>
              </w:rPr>
              <w:t>Medio de transporte, tiempo de desplazamiento y uso de ruta escolar</w:t>
            </w:r>
          </w:p>
        </w:tc>
        <w:tc>
          <w:tcPr>
            <w:tcW w:type="dxa" w:w="2494"/>
            <w:tcBorders>
              <w:bottom w:val="single" w:sz="8" w:color="000000"/>
            </w:tcBorders>
          </w:tcPr>
          <w:p>
            <w:pPr>
              <w:spacing w:line="240" w:lineRule="auto" w:after="40" w:before="40"/>
              <w:ind w:firstLine="0"/>
              <w:jc w:val="left"/>
            </w:pPr>
            <w:r/>
            <w:r>
              <w:rPr>
                <w:rFonts w:ascii="Times New Roman" w:hAnsi="Times New Roman"/>
                <w:b w:val="0"/>
                <w:sz w:val="20"/>
              </w:rPr>
              <w:t>Encuesta de percepción (Apéndice C)</w:t>
            </w:r>
          </w:p>
        </w:tc>
      </w:tr>
    </w:tbl>
    <w:p>
      <w:pPr>
        <w:spacing w:line="240" w:lineRule="auto"/>
        <w:ind w:firstLine="0"/>
        <w:jc w:val="both"/>
      </w:pPr>
      <w:r>
        <w:rPr>
          <w:rFonts w:ascii="Times New Roman" w:hAnsi="Times New Roman"/>
          <w:i/>
          <w:sz w:val="20"/>
        </w:rPr>
        <w:t xml:space="preserve">Nota. </w:t>
      </w:r>
      <w:r>
        <w:rPr>
          <w:rFonts w:ascii="Times New Roman" w:hAnsi="Times New Roman"/>
          <w:sz w:val="20"/>
        </w:rPr>
        <w:t>Elaboración propia.</w:t>
      </w:r>
    </w:p>
    <w:p>
      <w:pPr>
        <w:ind w:firstLine="709"/>
        <w:jc w:val="both"/>
      </w:pPr>
      <w:r>
        <w:rPr>
          <w:rFonts w:ascii="Times New Roman" w:hAnsi="Times New Roman"/>
          <w:b w:val="0"/>
          <w:i w:val="0"/>
          <w:sz w:val="24"/>
        </w:rPr>
      </w:r>
    </w:p>
    <w:p>
      <w:pPr>
        <w:pStyle w:val="Heading2"/>
      </w:pPr>
      <w:r>
        <w:t>3.5 Instrumentos y técnicas de recolección</w:t>
      </w:r>
    </w:p>
    <w:p>
      <w:pPr>
        <w:ind w:firstLine="709"/>
        <w:jc w:val="both"/>
      </w:pPr>
      <w:r>
        <w:rPr>
          <w:rFonts w:ascii="Times New Roman" w:hAnsi="Times New Roman"/>
          <w:b w:val="0"/>
          <w:i w:val="0"/>
          <w:sz w:val="24"/>
        </w:rPr>
        <w:t>Se emplean tres instrumentos. El primero corresponde a los registros de la planilla física de portería, empleados para reconstruir la línea base. El segundo es la base de datos generada por el sistema durante el periodo de intervención, de la cual se extraen las horas exactas de ingreso. El tercero es una encuesta estructurada de percepción, aplicada de forma anónima al finalizar el piloto, cuyo formato se incluye en el Apéndice C.</w:t>
      </w:r>
    </w:p>
    <w:p>
      <w:pPr>
        <w:ind w:firstLine="709"/>
        <w:jc w:val="both"/>
      </w:pPr>
      <w:r>
        <w:rPr>
          <w:rFonts w:ascii="Times New Roman" w:hAnsi="Times New Roman"/>
          <w:i/>
          <w:color w:val="808080"/>
          <w:sz w:val="24"/>
        </w:rPr>
        <w:t>[PENDIENTE] Definir el número y la redacción definitiva de los ítems de la encuesta. Se sugieren entre ocho y doce preguntas: escala tipo Likert para motivación y presión percibida, preguntas cerradas para medio de transporte y tiempo de desplazamiento, y una pregunta abierta final.</w:t>
      </w:r>
    </w:p>
    <w:p>
      <w:pPr>
        <w:ind w:firstLine="709"/>
        <w:jc w:val="both"/>
      </w:pPr>
      <w:r>
        <w:rPr>
          <w:rFonts w:ascii="Times New Roman" w:hAnsi="Times New Roman"/>
          <w:b w:val="0"/>
          <w:i w:val="0"/>
          <w:sz w:val="24"/>
        </w:rPr>
      </w:r>
    </w:p>
    <w:p>
      <w:pPr>
        <w:pStyle w:val="Heading2"/>
      </w:pPr>
      <w:r>
        <w:t>3.6 Procedimiento y fases</w:t>
      </w:r>
    </w:p>
    <w:p>
      <w:pPr>
        <w:ind w:firstLine="709"/>
        <w:jc w:val="both"/>
      </w:pPr>
      <w:r>
        <w:rPr>
          <w:rFonts w:ascii="Times New Roman" w:hAnsi="Times New Roman"/>
          <w:b w:val="0"/>
          <w:i w:val="0"/>
          <w:sz w:val="24"/>
        </w:rPr>
        <w:t>El proyecto se ejecuta en seis fases consecutivas. La primera consiste en la aprobación del asesor y la obtención de la autorización institucional. La segunda comprende el diseño y desarrollo del sistema, junto con sus pruebas técnicas. La tercera abarca la generación e impresión de los carnés con código QR, la carga de la base de estudiantes y la capacitación del funcionario encargado del registro. La cuarta corresponde al levantamiento de la línea base a partir de los registros físicos. La quinta es la ejecución del piloto durante dos semanas. La sexta comprende la aplicación de la encuesta, el análisis de los resultados y la redacción del informe final.</w:t>
      </w:r>
    </w:p>
    <w:p>
      <w:pPr>
        <w:ind w:firstLine="709"/>
        <w:jc w:val="both"/>
      </w:pPr>
      <w:r>
        <w:rPr>
          <w:rFonts w:ascii="Times New Roman" w:hAnsi="Times New Roman"/>
          <w:b w:val="0"/>
          <w:i w:val="0"/>
          <w:sz w:val="24"/>
        </w:rPr>
      </w:r>
    </w:p>
    <w:p>
      <w:pPr>
        <w:pStyle w:val="Heading2"/>
      </w:pPr>
      <w:r>
        <w:t>3.7 Técnicas de análisis</w:t>
      </w:r>
    </w:p>
    <w:p>
      <w:pPr>
        <w:ind w:firstLine="709"/>
        <w:jc w:val="both"/>
      </w:pPr>
      <w:r>
        <w:rPr>
          <w:rFonts w:ascii="Times New Roman" w:hAnsi="Times New Roman"/>
          <w:b w:val="0"/>
          <w:i w:val="0"/>
          <w:sz w:val="24"/>
        </w:rPr>
        <w:t>Los datos cuantitativos se analizan mediante estadística descriptiva: se calculan porcentajes de puntualidad y totales de minutos perdidos por curso y por periodo, y se establece la variación entre la línea base y la intervención en términos absolutos y porcentuales. Los resultados se presentan en tablas comparativas y en gráficos de barras. Las respuestas de la encuesta se analizan mediante distribución de frecuencias, y las respuestas abiertas se agrupan por categorías temáticas emergentes.</w:t>
      </w:r>
    </w:p>
    <w:p>
      <w:pPr>
        <w:ind w:firstLine="709"/>
        <w:jc w:val="both"/>
      </w:pPr>
      <w:r>
        <w:rPr>
          <w:rFonts w:ascii="Times New Roman" w:hAnsi="Times New Roman"/>
          <w:b w:val="0"/>
          <w:i w:val="0"/>
          <w:sz w:val="24"/>
        </w:rPr>
      </w:r>
    </w:p>
    <w:p>
      <w:pPr>
        <w:pStyle w:val="Heading2"/>
      </w:pPr>
      <w:r>
        <w:t>3.8 Consideraciones éticas</w:t>
      </w:r>
    </w:p>
    <w:p>
      <w:pPr>
        <w:ind w:firstLine="709"/>
        <w:jc w:val="both"/>
      </w:pPr>
      <w:r>
        <w:rPr>
          <w:rFonts w:ascii="Times New Roman" w:hAnsi="Times New Roman"/>
          <w:b w:val="0"/>
          <w:i w:val="0"/>
          <w:sz w:val="24"/>
        </w:rPr>
        <w:t>El diseño incorpora las siguientes salvaguardas:</w:t>
      </w:r>
    </w:p>
    <w:p>
      <w:pPr>
        <w:pStyle w:val="ListBullet"/>
        <w:spacing w:line="480" w:lineRule="auto" w:after="0"/>
        <w:ind w:firstLine="0" w:left="709"/>
      </w:pPr>
      <w:r>
        <w:rPr>
          <w:rFonts w:ascii="Times New Roman" w:hAnsi="Times New Roman"/>
          <w:sz w:val="24"/>
        </w:rPr>
        <w:t>No se expone públicamente la identidad de ningún estudiante que llegue tarde; la vista pública muestra únicamente datos agregados por curso.</w:t>
      </w:r>
    </w:p>
    <w:p>
      <w:pPr>
        <w:pStyle w:val="ListBullet"/>
        <w:spacing w:line="480" w:lineRule="auto" w:after="0"/>
        <w:ind w:firstLine="0" w:left="709"/>
      </w:pPr>
      <w:r>
        <w:rPr>
          <w:rFonts w:ascii="Times New Roman" w:hAnsi="Times New Roman"/>
          <w:sz w:val="24"/>
        </w:rPr>
        <w:t>El sistema no genera sanciones y no reemplaza ni modifica el conducto regular disciplinario vigente.</w:t>
      </w:r>
    </w:p>
    <w:p>
      <w:pPr>
        <w:pStyle w:val="ListBullet"/>
        <w:spacing w:line="480" w:lineRule="auto" w:after="0"/>
        <w:ind w:firstLine="0" w:left="709"/>
      </w:pPr>
      <w:r>
        <w:rPr>
          <w:rFonts w:ascii="Times New Roman" w:hAnsi="Times New Roman"/>
          <w:sz w:val="24"/>
        </w:rPr>
        <w:t>Los datos recolectados se limitan a nombre, curso, identificador de carné y hora de ingreso.</w:t>
      </w:r>
    </w:p>
    <w:p>
      <w:pPr>
        <w:pStyle w:val="ListBullet"/>
        <w:spacing w:line="480" w:lineRule="auto" w:after="0"/>
        <w:ind w:firstLine="0" w:left="709"/>
      </w:pPr>
      <w:r>
        <w:rPr>
          <w:rFonts w:ascii="Times New Roman" w:hAnsi="Times New Roman"/>
          <w:sz w:val="24"/>
        </w:rPr>
        <w:t>El acceso al detalle individual se restringe a las personas que ya cuentan con esa información en el procedimiento actual.</w:t>
      </w:r>
    </w:p>
    <w:p>
      <w:pPr>
        <w:pStyle w:val="ListBullet"/>
        <w:spacing w:line="480" w:lineRule="auto" w:after="0"/>
        <w:ind w:firstLine="0" w:left="709"/>
      </w:pPr>
      <w:r>
        <w:rPr>
          <w:rFonts w:ascii="Times New Roman" w:hAnsi="Times New Roman"/>
          <w:sz w:val="24"/>
        </w:rPr>
        <w:t>La encuesta de percepción se aplica de forma anónima.</w:t>
      </w:r>
    </w:p>
    <w:p>
      <w:pPr>
        <w:pStyle w:val="ListBullet"/>
        <w:spacing w:line="480" w:lineRule="auto" w:after="0"/>
        <w:ind w:firstLine="0" w:left="709"/>
      </w:pPr>
      <w:r>
        <w:rPr>
          <w:rFonts w:ascii="Times New Roman" w:hAnsi="Times New Roman"/>
          <w:sz w:val="24"/>
        </w:rPr>
        <w:t>Los datos se entregan íntegramente a la institución o se suprimen al finalizar el proyecto.</w:t>
      </w:r>
    </w:p>
    <w:p>
      <w:pPr>
        <w:pStyle w:val="ListBullet"/>
        <w:spacing w:line="480" w:lineRule="auto" w:after="0"/>
        <w:ind w:firstLine="0" w:left="709"/>
      </w:pPr>
      <w:r>
        <w:rPr>
          <w:rFonts w:ascii="Times New Roman" w:hAnsi="Times New Roman"/>
          <w:sz w:val="24"/>
        </w:rPr>
        <w:t>La institución puede suspender el piloto en cualquier momento.</w:t>
      </w:r>
    </w:p>
    <w:p>
      <w:r>
        <w:br w:type="page"/>
      </w:r>
    </w:p>
    <w:p>
      <w:pPr>
        <w:pStyle w:val="Heading1"/>
      </w:pPr>
      <w:r>
        <w:t>4. Desarrollo del sistema</w:t>
      </w:r>
    </w:p>
    <w:p>
      <w:pPr>
        <w:pStyle w:val="Heading2"/>
      </w:pPr>
      <w:r>
        <w:t>4.1 Requerimientos funcionales</w:t>
      </w:r>
    </w:p>
    <w:p>
      <w:pPr>
        <w:pStyle w:val="ListBullet"/>
        <w:spacing w:line="480" w:lineRule="auto" w:after="0"/>
        <w:ind w:firstLine="0" w:left="709"/>
      </w:pPr>
      <w:r>
        <w:rPr>
          <w:rFonts w:ascii="Times New Roman" w:hAnsi="Times New Roman"/>
          <w:sz w:val="24"/>
        </w:rPr>
        <w:t>Registrar el ingreso de un estudiante mediante la lectura de su código QR, empleando la cámara del dispositivo de portería.</w:t>
      </w:r>
    </w:p>
    <w:p>
      <w:pPr>
        <w:pStyle w:val="ListBullet"/>
        <w:spacing w:line="480" w:lineRule="auto" w:after="0"/>
        <w:ind w:firstLine="0" w:left="709"/>
      </w:pPr>
      <w:r>
        <w:rPr>
          <w:rFonts w:ascii="Times New Roman" w:hAnsi="Times New Roman"/>
          <w:sz w:val="24"/>
        </w:rPr>
        <w:t>Asignar a cada registro un sello de tiempo generado por el servidor.</w:t>
      </w:r>
    </w:p>
    <w:p>
      <w:pPr>
        <w:pStyle w:val="ListBullet"/>
        <w:spacing w:line="480" w:lineRule="auto" w:after="0"/>
        <w:ind w:firstLine="0" w:left="709"/>
      </w:pPr>
      <w:r>
        <w:rPr>
          <w:rFonts w:ascii="Times New Roman" w:hAnsi="Times New Roman"/>
          <w:sz w:val="24"/>
        </w:rPr>
        <w:t>Calcular automáticamente los puntos correspondientes según la hora de ingreso.</w:t>
      </w:r>
    </w:p>
    <w:p>
      <w:pPr>
        <w:pStyle w:val="ListBullet"/>
        <w:spacing w:line="480" w:lineRule="auto" w:after="0"/>
        <w:ind w:firstLine="0" w:left="709"/>
      </w:pPr>
      <w:r>
        <w:rPr>
          <w:rFonts w:ascii="Times New Roman" w:hAnsi="Times New Roman"/>
          <w:sz w:val="24"/>
        </w:rPr>
        <w:t>Calcular el puntaje promedio por estudiante para cada curso.</w:t>
      </w:r>
    </w:p>
    <w:p>
      <w:pPr>
        <w:pStyle w:val="ListBullet"/>
        <w:spacing w:line="480" w:lineRule="auto" w:after="0"/>
        <w:ind w:firstLine="0" w:left="709"/>
      </w:pPr>
      <w:r>
        <w:rPr>
          <w:rFonts w:ascii="Times New Roman" w:hAnsi="Times New Roman"/>
          <w:sz w:val="24"/>
        </w:rPr>
        <w:t>Presentar un tablero público con el ranking de los cursos, sin identificar estudiantes.</w:t>
      </w:r>
    </w:p>
    <w:p>
      <w:pPr>
        <w:pStyle w:val="ListBullet"/>
        <w:spacing w:line="480" w:lineRule="auto" w:after="0"/>
        <w:ind w:firstLine="0" w:left="709"/>
      </w:pPr>
      <w:r>
        <w:rPr>
          <w:rFonts w:ascii="Times New Roman" w:hAnsi="Times New Roman"/>
          <w:sz w:val="24"/>
        </w:rPr>
        <w:t>Ofrecer un panel restringido de consulta y generación de reportes para la coordinación.</w:t>
      </w:r>
    </w:p>
    <w:p>
      <w:pPr>
        <w:pStyle w:val="ListBullet"/>
        <w:spacing w:line="480" w:lineRule="auto" w:after="0"/>
        <w:ind w:firstLine="0" w:left="709"/>
      </w:pPr>
      <w:r>
        <w:rPr>
          <w:rFonts w:ascii="Times New Roman" w:hAnsi="Times New Roman"/>
          <w:sz w:val="24"/>
        </w:rPr>
        <w:t>Permitir el registro manual de un estudiante que no porte su carné, mediante búsqueda por nombre.</w:t>
      </w:r>
    </w:p>
    <w:p>
      <w:pPr>
        <w:pStyle w:val="ListBullet"/>
        <w:spacing w:line="480" w:lineRule="auto" w:after="0"/>
        <w:ind w:firstLine="0" w:left="709"/>
      </w:pPr>
      <w:r>
        <w:rPr>
          <w:rFonts w:ascii="Times New Roman" w:hAnsi="Times New Roman"/>
          <w:sz w:val="24"/>
        </w:rPr>
        <w:t>Exportar los registros de un periodo en formato de hoja de cálculo.</w:t>
      </w:r>
    </w:p>
    <w:p>
      <w:pPr>
        <w:ind w:firstLine="709"/>
        <w:jc w:val="both"/>
      </w:pPr>
      <w:r>
        <w:rPr>
          <w:rFonts w:ascii="Times New Roman" w:hAnsi="Times New Roman"/>
          <w:b w:val="0"/>
          <w:i w:val="0"/>
          <w:sz w:val="24"/>
        </w:rPr>
      </w:r>
    </w:p>
    <w:p>
      <w:pPr>
        <w:pStyle w:val="Heading2"/>
      </w:pPr>
      <w:r>
        <w:t>4.2 Requerimientos no funcionales</w:t>
      </w:r>
    </w:p>
    <w:p>
      <w:pPr>
        <w:pStyle w:val="ListBullet"/>
        <w:spacing w:line="480" w:lineRule="auto" w:after="0"/>
        <w:ind w:firstLine="0" w:left="709"/>
      </w:pPr>
      <w:r>
        <w:rPr>
          <w:rFonts w:ascii="Times New Roman" w:hAnsi="Times New Roman"/>
          <w:sz w:val="24"/>
        </w:rPr>
        <w:t>El registro de un estudiante no debe superar los tres segundos, de modo que no se genere congestión en portería.</w:t>
      </w:r>
    </w:p>
    <w:p>
      <w:pPr>
        <w:pStyle w:val="ListBullet"/>
        <w:spacing w:line="480" w:lineRule="auto" w:after="0"/>
        <w:ind w:firstLine="0" w:left="709"/>
      </w:pPr>
      <w:r>
        <w:rPr>
          <w:rFonts w:ascii="Times New Roman" w:hAnsi="Times New Roman"/>
          <w:sz w:val="24"/>
        </w:rPr>
        <w:t>La aplicación debe operar desde el navegador del dispositivo, sin requerir instalación.</w:t>
      </w:r>
    </w:p>
    <w:p>
      <w:pPr>
        <w:pStyle w:val="ListBullet"/>
        <w:spacing w:line="480" w:lineRule="auto" w:after="0"/>
        <w:ind w:firstLine="0" w:left="709"/>
      </w:pPr>
      <w:r>
        <w:rPr>
          <w:rFonts w:ascii="Times New Roman" w:hAnsi="Times New Roman"/>
          <w:sz w:val="24"/>
        </w:rPr>
        <w:t>El acceso al detalle individual debe estar protegido mediante autenticación por roles.</w:t>
      </w:r>
    </w:p>
    <w:p>
      <w:pPr>
        <w:pStyle w:val="ListBullet"/>
        <w:spacing w:line="480" w:lineRule="auto" w:after="0"/>
        <w:ind w:firstLine="0" w:left="709"/>
      </w:pPr>
      <w:r>
        <w:rPr>
          <w:rFonts w:ascii="Times New Roman" w:hAnsi="Times New Roman"/>
          <w:sz w:val="24"/>
        </w:rPr>
        <w:t>La hora de referencia debe provenir del servidor y no del dispositivo cliente.</w:t>
      </w:r>
    </w:p>
    <w:p>
      <w:pPr>
        <w:pStyle w:val="ListBullet"/>
        <w:spacing w:line="480" w:lineRule="auto" w:after="0"/>
        <w:ind w:firstLine="0" w:left="709"/>
      </w:pPr>
      <w:r>
        <w:rPr>
          <w:rFonts w:ascii="Times New Roman" w:hAnsi="Times New Roman"/>
          <w:sz w:val="24"/>
        </w:rPr>
        <w:t>El sistema debe conservar el registro histórico sin permitir su edición retroactiva no auditada.</w:t>
      </w:r>
    </w:p>
    <w:p>
      <w:pPr>
        <w:ind w:firstLine="709"/>
        <w:jc w:val="both"/>
      </w:pPr>
      <w:r>
        <w:rPr>
          <w:rFonts w:ascii="Times New Roman" w:hAnsi="Times New Roman"/>
          <w:b w:val="0"/>
          <w:i w:val="0"/>
          <w:sz w:val="24"/>
        </w:rPr>
      </w:r>
    </w:p>
    <w:p>
      <w:pPr>
        <w:pStyle w:val="Heading2"/>
      </w:pPr>
      <w:r>
        <w:t>4.3 Arquitectura del sistema</w:t>
      </w:r>
    </w:p>
    <w:p>
      <w:pPr>
        <w:spacing w:line="240" w:lineRule="auto"/>
        <w:ind w:firstLine="0"/>
        <w:jc w:val="left"/>
      </w:pPr>
      <w:r>
        <w:rPr>
          <w:rFonts w:ascii="Times New Roman" w:hAnsi="Times New Roman"/>
          <w:b/>
          <w:sz w:val="24"/>
        </w:rPr>
        <w:t>Figura 1</w:t>
      </w:r>
    </w:p>
    <w:p>
      <w:pPr>
        <w:spacing w:line="240" w:lineRule="auto"/>
        <w:ind w:firstLine="0"/>
      </w:pPr>
      <w:r>
        <w:rPr>
          <w:rFonts w:ascii="Times New Roman" w:hAnsi="Times New Roman"/>
          <w:i/>
          <w:sz w:val="24"/>
        </w:rPr>
        <w:t>Arquitectura general del sistema</w:t>
      </w:r>
    </w:p>
    <w:p>
      <w:pPr>
        <w:ind w:firstLine="0"/>
        <w:jc w:val="center"/>
      </w:pPr>
      <w:r>
        <w:drawing>
          <wp:inline xmlns:a="http://schemas.openxmlformats.org/drawingml/2006/main" xmlns:pic="http://schemas.openxmlformats.org/drawingml/2006/picture">
            <wp:extent cx="5580000" cy="526620"/>
            <wp:docPr id="1" name="Picture 1"/>
            <wp:cNvGraphicFramePr>
              <a:graphicFrameLocks noChangeAspect="1"/>
            </wp:cNvGraphicFramePr>
            <a:graphic>
              <a:graphicData uri="http://schemas.openxmlformats.org/drawingml/2006/picture">
                <pic:pic>
                  <pic:nvPicPr>
                    <pic:cNvPr id="0" name="fig1.png"/>
                    <pic:cNvPicPr/>
                  </pic:nvPicPr>
                  <pic:blipFill>
                    <a:blip r:embed="rId10"/>
                    <a:stretch>
                      <a:fillRect/>
                    </a:stretch>
                  </pic:blipFill>
                  <pic:spPr>
                    <a:xfrm>
                      <a:off x="0" y="0"/>
                      <a:ext cx="5580000" cy="526620"/>
                    </a:xfrm>
                    <a:prstGeom prst="rect"/>
                  </pic:spPr>
                </pic:pic>
              </a:graphicData>
            </a:graphic>
          </wp:inline>
        </w:drawing>
      </w:r>
    </w:p>
    <w:p>
      <w:pPr>
        <w:spacing w:line="240" w:lineRule="auto"/>
        <w:ind w:firstLine="0"/>
        <w:jc w:val="both"/>
      </w:pPr>
      <w:r>
        <w:rPr>
          <w:rFonts w:ascii="Times New Roman" w:hAnsi="Times New Roman"/>
          <w:i/>
          <w:sz w:val="20"/>
        </w:rPr>
        <w:t xml:space="preserve">Nota. </w:t>
      </w:r>
      <w:r>
        <w:rPr>
          <w:rFonts w:ascii="Times New Roman" w:hAnsi="Times New Roman"/>
          <w:sz w:val="20"/>
        </w:rPr>
        <w:t>Elaboración propia.</w:t>
      </w:r>
    </w:p>
    <w:p>
      <w:pPr>
        <w:ind w:firstLine="709"/>
        <w:jc w:val="both"/>
      </w:pPr>
      <w:r>
        <w:rPr>
          <w:rFonts w:ascii="Times New Roman" w:hAnsi="Times New Roman"/>
          <w:b w:val="0"/>
          <w:i w:val="0"/>
          <w:sz w:val="24"/>
        </w:rPr>
      </w:r>
    </w:p>
    <w:p>
      <w:pPr>
        <w:ind w:firstLine="709"/>
        <w:jc w:val="both"/>
      </w:pPr>
      <w:r>
        <w:rPr>
          <w:rFonts w:ascii="Times New Roman" w:hAnsi="Times New Roman"/>
          <w:b w:val="0"/>
          <w:i w:val="0"/>
          <w:sz w:val="24"/>
        </w:rPr>
        <w:t>El sistema se estructura en cuatro capas. La capa de identificación corresponde al carné físico con código QR que porta el estudiante. La capa de captura corresponde al dispositivo de portería, que ejecuta en el navegador una aplicación web progresiva encargada de decodificar el código mediante la cámara. La capa de servicio corresponde al servidor, que valida el identificador, aplica las reglas de puntuación y asigna el sello de tiempo. La capa de persistencia corresponde a la base de datos relacional, sobre la cual se construyen las dos vistas de salida: el tablero público con datos agregados y el panel de coordinación con acceso al detalle individual.</w:t>
      </w:r>
    </w:p>
    <w:p>
      <w:pPr>
        <w:ind w:firstLine="709"/>
        <w:jc w:val="both"/>
      </w:pPr>
      <w:r>
        <w:rPr>
          <w:rFonts w:ascii="Times New Roman" w:hAnsi="Times New Roman"/>
          <w:b w:val="0"/>
          <w:i w:val="0"/>
          <w:sz w:val="24"/>
        </w:rPr>
      </w:r>
    </w:p>
    <w:p>
      <w:pPr>
        <w:pStyle w:val="Heading2"/>
      </w:pPr>
      <w:r>
        <w:t>4.4 Flujo de registro y reglas de puntuación</w:t>
      </w:r>
    </w:p>
    <w:p>
      <w:pPr>
        <w:spacing w:line="240" w:lineRule="auto"/>
        <w:ind w:firstLine="0"/>
        <w:jc w:val="left"/>
      </w:pPr>
      <w:r>
        <w:rPr>
          <w:rFonts w:ascii="Times New Roman" w:hAnsi="Times New Roman"/>
          <w:b/>
          <w:sz w:val="24"/>
        </w:rPr>
        <w:t>Figura 2</w:t>
      </w:r>
    </w:p>
    <w:p>
      <w:pPr>
        <w:spacing w:line="240" w:lineRule="auto"/>
        <w:ind w:firstLine="0"/>
      </w:pPr>
      <w:r>
        <w:rPr>
          <w:rFonts w:ascii="Times New Roman" w:hAnsi="Times New Roman"/>
          <w:i/>
          <w:sz w:val="24"/>
        </w:rPr>
        <w:t>Flujo de registro de ingreso y asignación de puntos</w:t>
      </w:r>
    </w:p>
    <w:p>
      <w:pPr>
        <w:ind w:firstLine="0"/>
        <w:jc w:val="center"/>
      </w:pPr>
      <w:r>
        <w:drawing>
          <wp:inline xmlns:a="http://schemas.openxmlformats.org/drawingml/2006/main" xmlns:pic="http://schemas.openxmlformats.org/drawingml/2006/picture">
            <wp:extent cx="4140000" cy="5500886"/>
            <wp:docPr id="2" name="Picture 2"/>
            <wp:cNvGraphicFramePr>
              <a:graphicFrameLocks noChangeAspect="1"/>
            </wp:cNvGraphicFramePr>
            <a:graphic>
              <a:graphicData uri="http://schemas.openxmlformats.org/drawingml/2006/picture">
                <pic:pic>
                  <pic:nvPicPr>
                    <pic:cNvPr id="0" name="fig2.png"/>
                    <pic:cNvPicPr/>
                  </pic:nvPicPr>
                  <pic:blipFill>
                    <a:blip r:embed="rId11"/>
                    <a:stretch>
                      <a:fillRect/>
                    </a:stretch>
                  </pic:blipFill>
                  <pic:spPr>
                    <a:xfrm>
                      <a:off x="0" y="0"/>
                      <a:ext cx="4140000" cy="5500886"/>
                    </a:xfrm>
                    <a:prstGeom prst="rect"/>
                  </pic:spPr>
                </pic:pic>
              </a:graphicData>
            </a:graphic>
          </wp:inline>
        </w:drawing>
      </w:r>
    </w:p>
    <w:p>
      <w:pPr>
        <w:spacing w:line="240" w:lineRule="auto"/>
        <w:ind w:firstLine="0"/>
        <w:jc w:val="both"/>
      </w:pPr>
      <w:r>
        <w:rPr>
          <w:rFonts w:ascii="Times New Roman" w:hAnsi="Times New Roman"/>
          <w:i/>
          <w:sz w:val="20"/>
        </w:rPr>
        <w:t xml:space="preserve">Nota. </w:t>
      </w:r>
      <w:r>
        <w:rPr>
          <w:rFonts w:ascii="Times New Roman" w:hAnsi="Times New Roman"/>
          <w:sz w:val="20"/>
        </w:rPr>
        <w:t>Elaboración propia.</w:t>
      </w:r>
    </w:p>
    <w:p>
      <w:pPr>
        <w:ind w:firstLine="709"/>
        <w:jc w:val="both"/>
      </w:pPr>
      <w:r>
        <w:rPr>
          <w:rFonts w:ascii="Times New Roman" w:hAnsi="Times New Roman"/>
          <w:b w:val="0"/>
          <w:i w:val="0"/>
          <w:sz w:val="24"/>
        </w:rPr>
      </w:r>
    </w:p>
    <w:p>
      <w:pPr>
        <w:ind w:firstLine="709"/>
        <w:jc w:val="both"/>
      </w:pPr>
      <w:r>
        <w:rPr>
          <w:rFonts w:ascii="Times New Roman" w:hAnsi="Times New Roman"/>
          <w:b w:val="0"/>
          <w:i w:val="0"/>
          <w:sz w:val="24"/>
        </w:rPr>
        <w:t>La portería cierra a las 7:30 a. m. Sobre esa referencia se define el siguiente esquema: el ingreso registrado antes de las 7:20 a. m. otorga tres puntos, en calidad de bonificación por anticipación; el ingreso registrado entre las 7:20 y las 7:30 a. m. otorga dos puntos, en calidad de llegada puntual; y el ingreso posterior a las 7:30 a. m. no otorga puntos.</w:t>
      </w:r>
    </w:p>
    <w:p>
      <w:pPr>
        <w:ind w:firstLine="709"/>
        <w:jc w:val="both"/>
      </w:pPr>
      <w:r>
        <w:rPr>
          <w:rFonts w:ascii="Times New Roman" w:hAnsi="Times New Roman"/>
          <w:b w:val="0"/>
          <w:i w:val="0"/>
          <w:sz w:val="24"/>
        </w:rPr>
        <w:t>El puntaje de cada curso corresponde al promedio de puntos por estudiante matriculado y no a la suma total acumulada. Esta normalización evita que los cursos con mayor número de estudiantes obtengan ventaja por su tamaño y hace comparables los tres grupos.</w:t>
      </w:r>
    </w:p>
    <w:p>
      <w:pPr>
        <w:ind w:firstLine="709"/>
        <w:jc w:val="both"/>
      </w:pPr>
      <w:r>
        <w:rPr>
          <w:rFonts w:ascii="Times New Roman" w:hAnsi="Times New Roman"/>
          <w:b w:val="0"/>
          <w:i w:val="0"/>
          <w:sz w:val="24"/>
        </w:rPr>
      </w:r>
    </w:p>
    <w:p>
      <w:pPr>
        <w:pStyle w:val="Heading2"/>
      </w:pPr>
      <w:r>
        <w:t>4.5 Modelo de datos</w:t>
      </w:r>
    </w:p>
    <w:p>
      <w:pPr>
        <w:ind w:firstLine="709"/>
        <w:jc w:val="both"/>
      </w:pPr>
      <w:r>
        <w:rPr>
          <w:rFonts w:ascii="Times New Roman" w:hAnsi="Times New Roman"/>
          <w:i/>
          <w:color w:val="808080"/>
          <w:sz w:val="24"/>
        </w:rPr>
        <w:t>[PENDIENTE] Incluir el diagrama entidad-relación como Figura 3, con las entidades Estudiante, Curso, Registro de ingreso, Periodo y Usuario del sistema, y sus respectivas relaciones y cardinalidades.</w:t>
      </w:r>
    </w:p>
    <w:p>
      <w:pPr>
        <w:ind w:firstLine="709"/>
        <w:jc w:val="both"/>
      </w:pPr>
      <w:r>
        <w:rPr>
          <w:rFonts w:ascii="Times New Roman" w:hAnsi="Times New Roman"/>
          <w:b w:val="0"/>
          <w:i w:val="0"/>
          <w:sz w:val="24"/>
        </w:rPr>
      </w:r>
    </w:p>
    <w:p>
      <w:pPr>
        <w:pStyle w:val="Heading2"/>
      </w:pPr>
      <w:r>
        <w:t>4.6 Tecnologías empleadas</w:t>
      </w:r>
    </w:p>
    <w:p>
      <w:pPr>
        <w:ind w:firstLine="709"/>
        <w:jc w:val="both"/>
      </w:pPr>
      <w:r>
        <w:rPr>
          <w:rFonts w:ascii="Times New Roman" w:hAnsi="Times New Roman"/>
          <w:i/>
          <w:color w:val="808080"/>
          <w:sz w:val="24"/>
        </w:rPr>
        <w:t>[PENDIENTE] Consignar el detalle definitivo de la pila tecnológica una vez concluido el desarrollo: lenguaje, framework de la interfaz, motor de base de datos, mecanismo de autenticación, librería de decodificación de códigos QR y plataforma de despliegue.</w:t>
      </w:r>
    </w:p>
    <w:p>
      <w:pPr>
        <w:ind w:firstLine="709"/>
        <w:jc w:val="both"/>
      </w:pPr>
      <w:r>
        <w:rPr>
          <w:rFonts w:ascii="Times New Roman" w:hAnsi="Times New Roman"/>
          <w:b w:val="0"/>
          <w:i w:val="0"/>
          <w:sz w:val="24"/>
        </w:rPr>
      </w:r>
    </w:p>
    <w:p>
      <w:pPr>
        <w:pStyle w:val="Heading2"/>
      </w:pPr>
      <w:r>
        <w:t>4.7 Pruebas realizadas</w:t>
      </w:r>
    </w:p>
    <w:p>
      <w:pPr>
        <w:ind w:firstLine="709"/>
        <w:jc w:val="both"/>
      </w:pPr>
      <w:r>
        <w:rPr>
          <w:rFonts w:ascii="Times New Roman" w:hAnsi="Times New Roman"/>
          <w:i/>
          <w:color w:val="808080"/>
          <w:sz w:val="24"/>
        </w:rPr>
        <w:t>[PENDIENTE] Documentar las pruebas ejecutadas antes del piloto: lectura del código en distintas condiciones de iluminación, comportamiento ante pérdida temporal de conexión, tiempo medio de registro por estudiante, verificación del cálculo de puntos en los tres rangos horarios, y validación de que los roles restringen correctamente el acceso al dato individual.</w:t>
      </w:r>
    </w:p>
    <w:p>
      <w:r>
        <w:br w:type="page"/>
      </w:r>
    </w:p>
    <w:p>
      <w:pPr>
        <w:pStyle w:val="Heading1"/>
      </w:pPr>
      <w:r>
        <w:t>5. Resultados</w:t>
      </w:r>
    </w:p>
    <w:p>
      <w:pPr>
        <w:pStyle w:val="Heading2"/>
      </w:pPr>
      <w:r>
        <w:t>5.1 Línea base</w:t>
      </w:r>
    </w:p>
    <w:p>
      <w:pPr>
        <w:ind w:firstLine="709"/>
        <w:jc w:val="both"/>
      </w:pPr>
      <w:r>
        <w:rPr>
          <w:rFonts w:ascii="Times New Roman" w:hAnsi="Times New Roman"/>
          <w:i/>
          <w:color w:val="808080"/>
          <w:sz w:val="24"/>
        </w:rPr>
        <w:t>[PENDIENTE] Presentar la Tabla 2 con el porcentaje de llegadas puntuales y los minutos de clase perdidos por curso durante las dos semanas de línea base.</w:t>
      </w:r>
    </w:p>
    <w:p>
      <w:pPr>
        <w:ind w:firstLine="709"/>
        <w:jc w:val="both"/>
      </w:pPr>
      <w:r>
        <w:rPr>
          <w:rFonts w:ascii="Times New Roman" w:hAnsi="Times New Roman"/>
          <w:b w:val="0"/>
          <w:i w:val="0"/>
          <w:sz w:val="24"/>
        </w:rPr>
      </w:r>
    </w:p>
    <w:p>
      <w:pPr>
        <w:pStyle w:val="Heading2"/>
      </w:pPr>
      <w:r>
        <w:t>5.2 Periodo de intervención</w:t>
      </w:r>
    </w:p>
    <w:p>
      <w:pPr>
        <w:ind w:firstLine="709"/>
        <w:jc w:val="both"/>
      </w:pPr>
      <w:r>
        <w:rPr>
          <w:rFonts w:ascii="Times New Roman" w:hAnsi="Times New Roman"/>
          <w:i/>
          <w:color w:val="808080"/>
          <w:sz w:val="24"/>
        </w:rPr>
        <w:t>[PENDIENTE] Presentar la Tabla 3 con los mismos indicadores durante las dos semanas de operación del sistema, junto con el puntaje promedio alcanzado por cada curso.</w:t>
      </w:r>
    </w:p>
    <w:p>
      <w:pPr>
        <w:ind w:firstLine="709"/>
        <w:jc w:val="both"/>
      </w:pPr>
      <w:r>
        <w:rPr>
          <w:rFonts w:ascii="Times New Roman" w:hAnsi="Times New Roman"/>
          <w:b w:val="0"/>
          <w:i w:val="0"/>
          <w:sz w:val="24"/>
        </w:rPr>
      </w:r>
    </w:p>
    <w:p>
      <w:pPr>
        <w:pStyle w:val="Heading2"/>
      </w:pPr>
      <w:r>
        <w:t>5.3 Comparación entre periodos</w:t>
      </w:r>
    </w:p>
    <w:p>
      <w:pPr>
        <w:ind w:firstLine="709"/>
        <w:jc w:val="both"/>
      </w:pPr>
      <w:r>
        <w:rPr>
          <w:rFonts w:ascii="Times New Roman" w:hAnsi="Times New Roman"/>
          <w:i/>
          <w:color w:val="808080"/>
          <w:sz w:val="24"/>
        </w:rPr>
        <w:t>[PENDIENTE] Presentar la Tabla 4 y la Figura 4 con la variación absoluta y porcentual de cada indicador entre los dos periodos, discriminada por curso.</w:t>
      </w:r>
    </w:p>
    <w:p>
      <w:pPr>
        <w:ind w:firstLine="709"/>
        <w:jc w:val="both"/>
      </w:pPr>
      <w:r>
        <w:rPr>
          <w:rFonts w:ascii="Times New Roman" w:hAnsi="Times New Roman"/>
          <w:b w:val="0"/>
          <w:i w:val="0"/>
          <w:sz w:val="24"/>
        </w:rPr>
      </w:r>
    </w:p>
    <w:p>
      <w:pPr>
        <w:pStyle w:val="Heading2"/>
      </w:pPr>
      <w:r>
        <w:t>5.4 Resultados de la encuesta de percepción</w:t>
      </w:r>
    </w:p>
    <w:p>
      <w:pPr>
        <w:ind w:firstLine="709"/>
        <w:jc w:val="both"/>
      </w:pPr>
      <w:r>
        <w:rPr>
          <w:rFonts w:ascii="Times New Roman" w:hAnsi="Times New Roman"/>
          <w:i/>
          <w:color w:val="808080"/>
          <w:sz w:val="24"/>
        </w:rPr>
        <w:t>[PENDIENTE] Presentar la distribución de frecuencias de los ítems de la encuesta y la categorización de las respuestas abiertas.</w:t>
      </w:r>
    </w:p>
    <w:p>
      <w:r>
        <w:br w:type="page"/>
      </w:r>
    </w:p>
    <w:p>
      <w:pPr>
        <w:pStyle w:val="Heading1"/>
      </w:pPr>
      <w:r>
        <w:t>6. Análisis de resultados</w:t>
      </w:r>
    </w:p>
    <w:p>
      <w:pPr>
        <w:ind w:firstLine="709"/>
        <w:jc w:val="both"/>
      </w:pPr>
      <w:r>
        <w:rPr>
          <w:rFonts w:ascii="Times New Roman" w:hAnsi="Times New Roman"/>
          <w:i/>
          <w:color w:val="808080"/>
          <w:sz w:val="24"/>
        </w:rPr>
        <w:t>[PENDIENTE] Interpretar la variación observada en cada indicador y contrastarla con lo planteado en el marco teórico, en particular con las advertencias de Deci et al. (1999) sobre motivación extrínseca y con el hallazgo de Sailer y Homner (2020) sobre el efecto desmotivador de las tablas de clasificación en quienes ocupan las últimas posiciones. Analizar por separado el comportamiento de cada curso, discutir el peso de los factores de transporte reportados en la encuesta, y examinar si se registró presión social entre compañeros.</w:t>
      </w:r>
    </w:p>
    <w:p>
      <w:pPr>
        <w:ind w:firstLine="709"/>
        <w:jc w:val="both"/>
      </w:pPr>
      <w:r>
        <w:rPr>
          <w:rFonts w:ascii="Times New Roman" w:hAnsi="Times New Roman"/>
          <w:b w:val="0"/>
          <w:i w:val="0"/>
          <w:sz w:val="24"/>
        </w:rPr>
      </w:r>
    </w:p>
    <w:p>
      <w:pPr>
        <w:pStyle w:val="Heading2"/>
      </w:pPr>
      <w:r>
        <w:t>6.1 Limitaciones del estudio</w:t>
      </w:r>
    </w:p>
    <w:p>
      <w:pPr>
        <w:ind w:firstLine="709"/>
        <w:jc w:val="both"/>
      </w:pPr>
      <w:r>
        <w:rPr>
          <w:rFonts w:ascii="Times New Roman" w:hAnsi="Times New Roman"/>
          <w:b w:val="0"/>
          <w:i w:val="0"/>
          <w:sz w:val="24"/>
        </w:rPr>
        <w:t>Se identifican cuatro limitaciones que condicionan el alcance de las conclusiones.</w:t>
      </w:r>
    </w:p>
    <w:p>
      <w:pPr>
        <w:ind w:firstLine="709"/>
        <w:jc w:val="both"/>
      </w:pPr>
      <w:r>
        <w:rPr>
          <w:rFonts w:ascii="Times New Roman" w:hAnsi="Times New Roman"/>
          <w:b w:val="0"/>
          <w:i w:val="0"/>
          <w:sz w:val="24"/>
        </w:rPr>
        <w:t>La primera es la ausencia de un grupo de control. Dado que la institución cuenta con solo tres cursos, todos participan en la intervención, lo que impide descartar por completo que las variaciones observadas obedezcan a factores externos —condiciones climáticas, calendario de evaluaciones o días festivos— y no al sistema. Para mitigar este riesgo se seleccionaron periodos comparables, sin puentes ni semanas de evaluación, y se documentaron los eventos externos ocurridos en cada uno.</w:t>
      </w:r>
    </w:p>
    <w:p>
      <w:pPr>
        <w:ind w:firstLine="709"/>
        <w:jc w:val="both"/>
      </w:pPr>
      <w:r>
        <w:rPr>
          <w:rFonts w:ascii="Times New Roman" w:hAnsi="Times New Roman"/>
          <w:b w:val="0"/>
          <w:i w:val="0"/>
          <w:sz w:val="24"/>
        </w:rPr>
        <w:t>La segunda es la presión social residual. Aunque el sistema no expone individualmente a ningún estudiante, en cursos de aproximadamente veinte personas los compañeros pueden identificar quién llegó tarde. Este efecto no puede eliminarse mediante diseño técnico, por lo que se midió de manera explícita en la encuesta de percepción y se reporta como hallazgo.</w:t>
      </w:r>
    </w:p>
    <w:p>
      <w:pPr>
        <w:ind w:firstLine="709"/>
        <w:jc w:val="both"/>
      </w:pPr>
      <w:r>
        <w:rPr>
          <w:rFonts w:ascii="Times New Roman" w:hAnsi="Times New Roman"/>
          <w:b w:val="0"/>
          <w:i w:val="0"/>
          <w:sz w:val="24"/>
        </w:rPr>
        <w:t>La tercera corresponde a los factores ajenos al estudiante. La puntualidad depende parcialmente de variables que este no controla, como la distancia a la institución, el medio de transporte o la organización familiar. La encuesta incluyó preguntas orientadas a caracterizar estos factores, con el fin de evitar atribuir exclusivamente al esfuerzo individual un resultado que puede estar condicionado por el contexto.</w:t>
      </w:r>
    </w:p>
    <w:p>
      <w:pPr>
        <w:ind w:firstLine="709"/>
        <w:jc w:val="both"/>
      </w:pPr>
      <w:r>
        <w:rPr>
          <w:rFonts w:ascii="Times New Roman" w:hAnsi="Times New Roman"/>
          <w:b w:val="0"/>
          <w:i w:val="0"/>
          <w:sz w:val="24"/>
        </w:rPr>
        <w:t>La cuarta es la corta duración del piloto. Dos semanas de intervención permiten observar un efecto inmediato, pero no establecer si el hábito se mantiene una vez retirado el incentivo.</w:t>
      </w:r>
    </w:p>
    <w:p>
      <w:r>
        <w:br w:type="page"/>
      </w:r>
    </w:p>
    <w:p>
      <w:pPr>
        <w:pStyle w:val="Heading1"/>
      </w:pPr>
      <w:r>
        <w:t>7. Conclusiones</w:t>
      </w:r>
    </w:p>
    <w:p>
      <w:pPr>
        <w:ind w:firstLine="709"/>
        <w:jc w:val="both"/>
      </w:pPr>
      <w:r>
        <w:rPr>
          <w:rFonts w:ascii="Times New Roman" w:hAnsi="Times New Roman"/>
          <w:i/>
          <w:color w:val="808080"/>
          <w:sz w:val="24"/>
        </w:rPr>
        <w:t>[PENDIENTE] Redactar una conclusión por objetivo específico, cada una en un párrafo independiente, sin viñetas ni numeración, conforme lo indica la plantilla institucional.</w:t>
      </w:r>
    </w:p>
    <w:p>
      <w:pPr>
        <w:ind w:firstLine="709"/>
        <w:jc w:val="both"/>
      </w:pPr>
      <w:r>
        <w:rPr>
          <w:rFonts w:ascii="Times New Roman" w:hAnsi="Times New Roman"/>
          <w:b w:val="0"/>
          <w:i w:val="0"/>
          <w:sz w:val="24"/>
        </w:rPr>
      </w:r>
    </w:p>
    <w:p>
      <w:pPr>
        <w:pStyle w:val="Heading1"/>
      </w:pPr>
      <w:r>
        <w:t>8. Recomendaciones</w:t>
      </w:r>
    </w:p>
    <w:p>
      <w:pPr>
        <w:ind w:firstLine="709"/>
        <w:jc w:val="both"/>
      </w:pPr>
      <w:r>
        <w:rPr>
          <w:rFonts w:ascii="Times New Roman" w:hAnsi="Times New Roman"/>
          <w:i/>
          <w:color w:val="808080"/>
          <w:sz w:val="24"/>
        </w:rPr>
        <w:t>[PENDIENTE] Formular las recomendaciones dirigidas a la institución sobre la continuidad del sistema, los ajustes al esquema de puntuación y las condiciones bajo las cuales convendría o no mantener el incentivo grupal.</w:t>
      </w:r>
    </w:p>
    <w:p>
      <w:r>
        <w:br w:type="page"/>
      </w:r>
    </w:p>
    <w:p>
      <w:pPr>
        <w:pStyle w:val="Heading1"/>
      </w:pPr>
      <w:r>
        <w:t>Referencias</w:t>
      </w:r>
    </w:p>
    <w:p>
      <w:pPr>
        <w:ind w:hanging="709" w:left="709"/>
        <w:jc w:val="left"/>
      </w:pPr>
      <w:r>
        <w:rPr>
          <w:rFonts w:ascii="Times New Roman" w:hAnsi="Times New Roman"/>
          <w:sz w:val="24"/>
        </w:rPr>
        <w:t>Ayllon, T., y Azrin, N. H. (1968). The token economy: A motivational system for therapy and rehabilitation. Appleton-Century-Crofts.</w:t>
      </w:r>
    </w:p>
    <w:p>
      <w:pPr>
        <w:ind w:hanging="709" w:left="709"/>
        <w:jc w:val="left"/>
      </w:pPr>
      <w:r>
        <w:rPr>
          <w:rFonts w:ascii="Times New Roman" w:hAnsi="Times New Roman"/>
          <w:sz w:val="24"/>
        </w:rPr>
        <w:t>Bandura, A. (1977). Social learning theory. Prentice Hall.</w:t>
      </w:r>
    </w:p>
    <w:p>
      <w:pPr>
        <w:ind w:hanging="709" w:left="709"/>
        <w:jc w:val="left"/>
      </w:pPr>
      <w:r>
        <w:rPr>
          <w:rFonts w:ascii="Times New Roman" w:hAnsi="Times New Roman"/>
          <w:sz w:val="24"/>
        </w:rPr>
        <w:t>Congreso de Colombia. (2006, 8 de noviembre). Ley 1098 de 2006. Por la cual se expide el Código de la Infancia y la Adolescencia. Diario Oficial No. 46.446.</w:t>
      </w:r>
    </w:p>
    <w:p>
      <w:pPr>
        <w:ind w:hanging="709" w:left="709"/>
        <w:jc w:val="left"/>
      </w:pPr>
      <w:r>
        <w:rPr>
          <w:rFonts w:ascii="Times New Roman" w:hAnsi="Times New Roman"/>
          <w:sz w:val="24"/>
        </w:rPr>
        <w:t>Congreso de Colombia. (2012, 17 de octubre). Ley 1581 de 2012. Por la cual se dictan disposiciones generales para la protección de datos personales. Diario Oficial No. 48.587.</w:t>
      </w:r>
    </w:p>
    <w:p>
      <w:pPr>
        <w:ind w:hanging="709" w:left="709"/>
        <w:jc w:val="left"/>
      </w:pPr>
      <w:r>
        <w:rPr>
          <w:rFonts w:ascii="Times New Roman" w:hAnsi="Times New Roman"/>
          <w:sz w:val="24"/>
        </w:rPr>
        <w:t>Deci, E. L., Koestner, R., y Ryan, R. M. (1999). A meta-analytic review of experiments examining the effects of extrinsic rewards on intrinsic motivation. Psychological Bulletin, 125(6), 627–668.</w:t>
      </w:r>
    </w:p>
    <w:p>
      <w:pPr>
        <w:ind w:hanging="709" w:left="709"/>
        <w:jc w:val="left"/>
      </w:pPr>
      <w:r>
        <w:rPr>
          <w:rFonts w:ascii="Times New Roman" w:hAnsi="Times New Roman"/>
          <w:sz w:val="24"/>
        </w:rPr>
        <w:t>Deterding, S., Dixon, D., Khaled, R., y Nacke, L. (2011). From game design elements to gamefulness: Defining "gamification". En Proceedings of the 15th International Academic MindTrek Conference (pp. 9–15). ACM.</w:t>
      </w:r>
    </w:p>
    <w:p>
      <w:pPr>
        <w:ind w:hanging="709" w:left="709"/>
        <w:jc w:val="left"/>
      </w:pPr>
      <w:r>
        <w:rPr>
          <w:rFonts w:ascii="Times New Roman" w:hAnsi="Times New Roman"/>
          <w:sz w:val="24"/>
        </w:rPr>
        <w:t>Hamari, J., Koivisto, J., y Sarsa, H. (2014). Does gamification work? A literature review of empirical studies on gamification. En Proceedings of the 47th Hawaii International Conference on System Sciences (pp. 3025–3034). IEEE.</w:t>
      </w:r>
    </w:p>
    <w:p>
      <w:pPr>
        <w:ind w:hanging="709" w:left="709"/>
        <w:jc w:val="left"/>
      </w:pPr>
      <w:r>
        <w:rPr>
          <w:rFonts w:ascii="Times New Roman" w:hAnsi="Times New Roman"/>
          <w:sz w:val="24"/>
        </w:rPr>
        <w:t>Kohn, A. (1993). Punished by rewards: The trouble with gold stars, incentive plans, A's, praise, and other bribes. Houghton Mifflin.</w:t>
      </w:r>
    </w:p>
    <w:p>
      <w:pPr>
        <w:ind w:hanging="709" w:left="709"/>
        <w:jc w:val="left"/>
      </w:pPr>
      <w:r>
        <w:rPr>
          <w:rFonts w:ascii="Times New Roman" w:hAnsi="Times New Roman"/>
          <w:sz w:val="24"/>
        </w:rPr>
        <w:t>Presidencia de la República de Colombia. (2013, 27 de junio). Decreto 1377 de 2013. Por el cual se reglamenta parcialmente la Ley 1581 de 2012.</w:t>
      </w:r>
    </w:p>
    <w:p>
      <w:pPr>
        <w:ind w:hanging="709" w:left="709"/>
        <w:jc w:val="left"/>
      </w:pPr>
      <w:r>
        <w:rPr>
          <w:rFonts w:ascii="Times New Roman" w:hAnsi="Times New Roman"/>
          <w:sz w:val="24"/>
        </w:rPr>
        <w:t>Ryan, R. M., y Deci, E. L. (2000). Self-determination theory and the facilitation of intrinsic motivation, social development, and well-being. American Psychologist, 55(1), 68–78.</w:t>
      </w:r>
    </w:p>
    <w:p>
      <w:pPr>
        <w:ind w:hanging="709" w:left="709"/>
        <w:jc w:val="left"/>
      </w:pPr>
      <w:r>
        <w:rPr>
          <w:rFonts w:ascii="Times New Roman" w:hAnsi="Times New Roman"/>
          <w:sz w:val="24"/>
        </w:rPr>
        <w:t>Sailer, M., y Homner, L. (2020). The gamification of learning: A meta-analysis. Educational Psychology Review, 32(1), 77–112.</w:t>
      </w:r>
    </w:p>
    <w:p>
      <w:pPr>
        <w:ind w:hanging="709" w:left="709"/>
        <w:jc w:val="left"/>
      </w:pPr>
      <w:r>
        <w:rPr>
          <w:rFonts w:ascii="Times New Roman" w:hAnsi="Times New Roman"/>
          <w:sz w:val="24"/>
        </w:rPr>
        <w:t>Skinner, B. F. (1953). Science and human behavior. Macmillan.</w:t>
      </w:r>
    </w:p>
    <w:p>
      <w:r>
        <w:br w:type="page"/>
      </w:r>
    </w:p>
    <w:p>
      <w:pPr>
        <w:pStyle w:val="Heading1"/>
      </w:pPr>
      <w:r>
        <w:t>Apéndices</w:t>
      </w:r>
    </w:p>
    <w:p>
      <w:pPr>
        <w:ind w:firstLine="709"/>
        <w:jc w:val="both"/>
      </w:pPr>
      <w:r>
        <w:rPr>
          <w:rFonts w:ascii="Times New Roman" w:hAnsi="Times New Roman"/>
          <w:b w:val="0"/>
          <w:i w:val="0"/>
          <w:sz w:val="24"/>
        </w:rPr>
      </w:r>
    </w:p>
    <w:p>
      <w:pPr>
        <w:pStyle w:val="Heading2"/>
      </w:pPr>
      <w:r>
        <w:t>Apéndice A. Solicitud de autorización institucional</w:t>
      </w:r>
    </w:p>
    <w:p>
      <w:pPr>
        <w:ind w:firstLine="709"/>
        <w:jc w:val="both"/>
      </w:pPr>
      <w:r>
        <w:rPr>
          <w:rFonts w:ascii="Times New Roman" w:hAnsi="Times New Roman"/>
          <w:i/>
          <w:color w:val="808080"/>
          <w:sz w:val="24"/>
        </w:rPr>
        <w:t>[PENDIENTE] Adjuntar la carta radicada ante Rectoría y Coordinación, con el sello o la constancia de recibido.</w:t>
      </w:r>
    </w:p>
    <w:p>
      <w:pPr>
        <w:ind w:firstLine="709"/>
        <w:jc w:val="both"/>
      </w:pPr>
      <w:r>
        <w:rPr>
          <w:rFonts w:ascii="Times New Roman" w:hAnsi="Times New Roman"/>
          <w:b w:val="0"/>
          <w:i w:val="0"/>
          <w:sz w:val="24"/>
        </w:rPr>
      </w:r>
    </w:p>
    <w:p>
      <w:pPr>
        <w:pStyle w:val="Heading2"/>
      </w:pPr>
      <w:r>
        <w:t>Apéndice B. Formato de consentimiento informado</w:t>
      </w:r>
    </w:p>
    <w:p>
      <w:pPr>
        <w:ind w:firstLine="709"/>
        <w:jc w:val="both"/>
      </w:pPr>
      <w:r>
        <w:rPr>
          <w:rFonts w:ascii="Times New Roman" w:hAnsi="Times New Roman"/>
          <w:i/>
          <w:color w:val="808080"/>
          <w:sz w:val="24"/>
        </w:rPr>
        <w:t>[PENDIENTE] Adjuntar el formato dirigido a los padres de familia, en caso de que la institución determine que se requiere.</w:t>
      </w:r>
    </w:p>
    <w:p>
      <w:pPr>
        <w:ind w:firstLine="709"/>
        <w:jc w:val="both"/>
      </w:pPr>
      <w:r>
        <w:rPr>
          <w:rFonts w:ascii="Times New Roman" w:hAnsi="Times New Roman"/>
          <w:b w:val="0"/>
          <w:i w:val="0"/>
          <w:sz w:val="24"/>
        </w:rPr>
      </w:r>
    </w:p>
    <w:p>
      <w:pPr>
        <w:pStyle w:val="Heading2"/>
      </w:pPr>
      <w:r>
        <w:t>Apéndice C. Encuesta de percepción</w:t>
      </w:r>
    </w:p>
    <w:p>
      <w:pPr>
        <w:ind w:firstLine="709"/>
        <w:jc w:val="both"/>
      </w:pPr>
      <w:r>
        <w:rPr>
          <w:rFonts w:ascii="Times New Roman" w:hAnsi="Times New Roman"/>
          <w:i/>
          <w:color w:val="808080"/>
          <w:sz w:val="24"/>
        </w:rPr>
        <w:t>[PENDIENTE] Adjuntar el instrumento completo aplicado a los estudiantes al finalizar el piloto.</w:t>
      </w:r>
    </w:p>
    <w:p>
      <w:pPr>
        <w:ind w:firstLine="709"/>
        <w:jc w:val="both"/>
      </w:pPr>
      <w:r>
        <w:rPr>
          <w:rFonts w:ascii="Times New Roman" w:hAnsi="Times New Roman"/>
          <w:b w:val="0"/>
          <w:i w:val="0"/>
          <w:sz w:val="24"/>
        </w:rPr>
      </w:r>
    </w:p>
    <w:p>
      <w:pPr>
        <w:pStyle w:val="Heading2"/>
      </w:pPr>
      <w:r>
        <w:t>Apéndice D. Manual de uso del sistema</w:t>
      </w:r>
    </w:p>
    <w:p>
      <w:pPr>
        <w:ind w:firstLine="709"/>
        <w:jc w:val="both"/>
      </w:pPr>
      <w:r>
        <w:rPr>
          <w:rFonts w:ascii="Times New Roman" w:hAnsi="Times New Roman"/>
          <w:i/>
          <w:color w:val="808080"/>
          <w:sz w:val="24"/>
        </w:rPr>
        <w:t>[PENDIENTE] Adjuntar el instructivo dirigido al funcionario encargado del registro en portería.</w:t>
      </w:r>
    </w:p>
    <w:p>
      <w:pPr>
        <w:ind w:firstLine="709"/>
        <w:jc w:val="both"/>
      </w:pPr>
      <w:r>
        <w:rPr>
          <w:rFonts w:ascii="Times New Roman" w:hAnsi="Times New Roman"/>
          <w:b w:val="0"/>
          <w:i w:val="0"/>
          <w:sz w:val="24"/>
        </w:rPr>
      </w:r>
    </w:p>
    <w:p>
      <w:pPr>
        <w:pStyle w:val="Heading2"/>
      </w:pPr>
      <w:r>
        <w:t>Apéndice E. Modelo de datos y código fuente</w:t>
      </w:r>
    </w:p>
    <w:p>
      <w:pPr>
        <w:ind w:firstLine="709"/>
        <w:jc w:val="both"/>
      </w:pPr>
      <w:r>
        <w:rPr>
          <w:rFonts w:ascii="Times New Roman" w:hAnsi="Times New Roman"/>
          <w:i/>
          <w:color w:val="808080"/>
          <w:sz w:val="24"/>
        </w:rPr>
        <w:t>[PENDIENTE] Adjuntar el diagrama entidad-relación y la referencia al repositorio donde reposa el código fuente del sistema.</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71" w:val="right"/>
      </w:tabs>
      <w:spacing w:line="240" w:lineRule="auto"/>
      <w:ind w:firstLine="0"/>
    </w:pPr>
    <w:r>
      <w:rPr>
        <w:rFonts w:ascii="Times New Roman" w:hAnsi="Times New Roman"/>
        <w:sz w:val="24"/>
      </w:rPr>
      <w:t>SISTEMA DE REGISTRO DE PUNTUALIDAD CON INCENTIVOS GRUPALES</w:t>
      <w:tab/>
    </w:r>
    <w:r>
      <w:rPr>
        <w:rFonts w:ascii="Times New Roman" w:hAnsi="Times New Roman"/>
        <w:sz w:val="24"/>
      </w:rPr>
      <w:fldChar w:fldCharType="begin"/>
      <w:instrText xml:space="preserve">PAGE</w:instrText>
      <w:fldChar w:fldCharType="separate"/>
      <w:t> </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ind w:firstLine="709"/>
      <w:jc w:val="both"/>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ind w:firstLine="0"/>
      <w:jc w:val="left"/>
      <w:outlineLvl w:val="0"/>
    </w:pPr>
    <w:rPr>
      <w:rFonts w:asciiTheme="majorHAnsi" w:eastAsiaTheme="majorEastAsia" w:hAnsiTheme="majorHAnsi" w:cstheme="majorBidi" w:ascii="Times New Roman" w:hAnsi="Times New Roman" w:eastAsia="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ind w:firstLine="0"/>
      <w:jc w:val="left"/>
      <w:outlineLvl w:val="1"/>
    </w:pPr>
    <w:rPr>
      <w:rFonts w:asciiTheme="majorHAnsi" w:eastAsiaTheme="majorEastAsia" w:hAnsiTheme="majorHAnsi" w:cstheme="majorBidi" w:ascii="Times New Roman" w:hAnsi="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ind w:firstLine="0"/>
      <w:jc w:val="left"/>
      <w:outlineLvl w:val="2"/>
    </w:pPr>
    <w:rPr>
      <w:rFonts w:asciiTheme="majorHAnsi" w:eastAsiaTheme="majorEastAsia" w:hAnsiTheme="majorHAnsi" w:cstheme="majorBidi" w:ascii="Times New Roman" w:hAnsi="Times New Roman" w:eastAsia="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