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jc w:val="center"/>
        <w:rPr/>
      </w:pPr>
      <w:r>
        <w:rPr>
          <w:rFonts w:ascii="Times New Roman" w:hAnsi="Times New Roman" w:eastAsia="Times New Roman" w:cs="Times New Roman"/>
          <w:b/>
          <w:bCs/>
          <w:sz w:val="28"/>
          <w:szCs w:val="28"/>
        </w:rPr>
        <w:t xml:space="preserve">CLOUDKC-BENCH: AN OPEN BENCHMARK AND CONTROLLED STUDY OF LLM CROSS-DOMAIN CORRELATION FOR AWS MULTI-STAGE KILL-CHAIN RECONSTRUCTION:</w:t>
      </w:r>
      <w:r/>
    </w:p>
    <w:p>
      <w:pPr>
        <w:pBdr/>
        <w:spacing w:after="140"/>
        <w:ind/>
        <w:jc w:val="center"/>
        <w:rPr/>
      </w:pPr>
      <w:r>
        <w:rPr>
          <w:rFonts w:ascii="Times New Roman" w:hAnsi="Times New Roman" w:eastAsia="Times New Roman" w:cs="Times New Roman"/>
          <w:b/>
          <w:bCs/>
          <w:sz w:val="24"/>
          <w:szCs w:val="24"/>
        </w:rPr>
        <w:t xml:space="preserve">Ground-Truth AWS Telemetry, a Pre-Registered Four-Arm Ablation, &amp; Two-Lens Detection Scoring</w:t>
      </w:r>
      <w:r/>
    </w:p>
    <w:p>
      <w:pPr>
        <w:pBdr/>
        <w:spacing w:after="20"/>
        <w:ind/>
        <w:jc w:val="center"/>
        <w:rPr/>
      </w:pPr>
      <w:r>
        <w:rPr>
          <w:rFonts w:ascii="Times New Roman" w:hAnsi="Times New Roman" w:eastAsia="Times New Roman" w:cs="Times New Roman"/>
          <w:sz w:val="22"/>
          <w:szCs w:val="22"/>
        </w:rPr>
        <w:t xml:space="preserve">Atishay Jain · Annamalai</w:t>
      </w:r>
      <w:r/>
    </w:p>
    <w:p>
      <w:pPr>
        <w:pBdr/>
        <w:spacing w:after="100"/>
        <w:ind/>
        <w:rPr/>
      </w:pPr>
      <w:r>
        <w:rPr>
          <w:rFonts w:ascii="Times New Roman" w:hAnsi="Times New Roman" w:eastAsia="Times New Roman" w:cs="Times New Roman"/>
          <w:b/>
          <w:bCs/>
          <w:sz w:val="22"/>
          <w:szCs w:val="22"/>
        </w:rPr>
        <w:t xml:space="preserve">Abstract:</w:t>
      </w:r>
      <w:r/>
    </w:p>
    <w:p>
      <w:pPr>
        <w:pBdr/>
        <w:spacing w:after="180" w:line="300" w:lineRule="auto"/>
        <w:ind w:firstLine="360"/>
        <w:jc w:val="both"/>
        <w:rPr/>
      </w:pPr>
      <w:r>
        <w:rPr>
          <w:rFonts w:ascii="Times New Roman" w:hAnsi="Times New Roman" w:eastAsia="Times New Roman" w:cs="Times New Roman"/>
          <w:sz w:val="22"/>
          <w:szCs w:val="22"/>
        </w:rPr>
        <w:t xml:space="preserve">Cloud attacks scatter their evidence across heterogeneous, disjoint telemetry—CloudTrail API events, VPC Flow Logs, S3 access logs, and EC2 lifecycle events—so</w:t>
      </w:r>
      <w:r>
        <w:rPr>
          <w:rFonts w:ascii="Times New Roman" w:hAnsi="Times New Roman" w:eastAsia="Times New Roman" w:cs="Times New Roman"/>
          <w:sz w:val="22"/>
          <w:szCs w:val="22"/>
        </w:rPr>
        <w:t xml:space="preserve"> that a multi-stage kill chain leaves no self-contained trace in any single source, and reconstructing it demands correlation across domains that share no common join key and arrive with variable delivery latency. Large Language Models (LLMs) are widely pr</w:t>
      </w:r>
      <w:r>
        <w:rPr>
          <w:rFonts w:ascii="Times New Roman" w:hAnsi="Times New Roman" w:eastAsia="Times New Roman" w:cs="Times New Roman"/>
          <w:sz w:val="22"/>
          <w:szCs w:val="22"/>
        </w:rPr>
        <w:t xml:space="preserve">oposed for such correlation, yet their claimed effectiveness is rarely tested against fair baselines, on reproducible ground-truthed data, or with honest treatment of model non-determinism. Consequently, a critical research gap was identified: the absence </w:t>
      </w:r>
      <w:r>
        <w:rPr>
          <w:rFonts w:ascii="Times New Roman" w:hAnsi="Times New Roman" w:eastAsia="Times New Roman" w:cs="Times New Roman"/>
          <w:sz w:val="22"/>
          <w:szCs w:val="22"/>
        </w:rPr>
        <w:t xml:space="preserve">of an open, ground-truthed benchmark for AWS control-plane multi-stage kill-chain reconstruction, together with a controlled methodology capable of determining whether an LLM correlation layer reconstructs attacks better than simpler baselines—or does not.</w:t>
      </w:r>
      <w:r/>
    </w:p>
    <w:p>
      <w:pPr>
        <w:pBdr/>
        <w:spacing w:after="180" w:line="300" w:lineRule="auto"/>
        <w:ind w:firstLine="360"/>
        <w:jc w:val="both"/>
        <w:rPr/>
      </w:pPr>
      <w:r>
        <w:rPr>
          <w:rFonts w:ascii="Times New Roman" w:hAnsi="Times New Roman" w:eastAsia="Times New Roman" w:cs="Times New Roman"/>
          <w:sz w:val="22"/>
          <w:szCs w:val="22"/>
        </w:rPr>
        <w:t xml:space="preserve">This paper presents CloudKC-Bench, an op</w:t>
      </w:r>
      <w:r>
        <w:rPr>
          <w:rFonts w:ascii="Times New Roman" w:hAnsi="Times New Roman" w:eastAsia="Times New Roman" w:cs="Times New Roman"/>
          <w:sz w:val="22"/>
          <w:szCs w:val="22"/>
        </w:rPr>
        <w:t xml:space="preserve">en benchmark and pre-registered controlled study of LLM cross-domain correlation for AWS kill-chain reconstruction. It comprises approximately sixty-nine real-incident-grounded scenarios across five never-pooled categories plus a sealed held-out set, each </w:t>
      </w:r>
      <w:r>
        <w:rPr>
          <w:rFonts w:ascii="Times New Roman" w:hAnsi="Times New Roman" w:eastAsia="Times New Roman" w:cs="Times New Roman"/>
          <w:sz w:val="22"/>
          <w:szCs w:val="22"/>
        </w:rPr>
        <w:t xml:space="preserve">shipping a machine-checkable ground-truth manifest under a strict answer-key boundary and scored by an exact matching function that credits a stage only when its technique, telemetry source, and cited evidence all agree. A four-arm ablation holds model, te</w:t>
      </w:r>
      <w:r>
        <w:rPr>
          <w:rFonts w:ascii="Times New Roman" w:hAnsi="Times New Roman" w:eastAsia="Times New Roman" w:cs="Times New Roman"/>
          <w:sz w:val="22"/>
          <w:szCs w:val="22"/>
        </w:rPr>
        <w:t xml:space="preserve">lemetry, and compute fixed while varying a single factor per comparison—a multi-agent system, a single agent, a raw-log agent, and a deterministic rules-only correlator—against an independent community Sigma baseline, under two lenses that separate finding</w:t>
      </w:r>
      <w:r>
        <w:rPr>
          <w:rFonts w:ascii="Times New Roman" w:hAnsi="Times New Roman" w:eastAsia="Times New Roman" w:cs="Times New Roman"/>
          <w:sz w:val="22"/>
          <w:szCs w:val="22"/>
        </w:rPr>
        <w:t xml:space="preserve"> the attack from naming the technique. Evaluation on synthetic and real-execution telemetry shows that the LLM detects attack events at higher precision than the rules yet fails at exact technique attribution—a gap that larger models narrow but do not clos</w:t>
      </w:r>
      <w:r>
        <w:rPr>
          <w:rFonts w:ascii="Times New Roman" w:hAnsi="Times New Roman" w:eastAsia="Times New Roman" w:cs="Times New Roman"/>
          <w:sz w:val="22"/>
          <w:szCs w:val="22"/>
        </w:rPr>
        <w:t xml:space="preserve">e—while multi-agent decomposition adds no measurable value at higher cost. By pairing a reproducible benchmark with a fair, pre-registered ablation, this work advances cloud threat detection toward measurable, honest evidence of when LLM correlation helps.</w:t>
      </w: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ONLYOFFICE/9.2.0.100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CloudKC-Bench — Abstract</dc:title>
  <dc:creator>ISFCR, PES University</dc:creator>
  <cp:revision>2</cp:revision>
  <dcterms:created xsi:type="dcterms:W3CDTF">2026-07-14T08:38:49Z</dcterms:created>
  <dcterms:modified xsi:type="dcterms:W3CDTF">2026-07-14T08:39:54Z</dcterms:modified>
</cp:coreProperties>
</file>