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Times New Roman" w:hAnsi="Times New Roman" w:eastAsia="Times New Roman" w:cs="Times New Roman"/>
          <w:b/>
          <w:bCs/>
          <w:sz w:val="27"/>
          <w:szCs w:val="27"/>
        </w:rPr>
        <w:t xml:space="preserve">CloudKC-Bench: An Open Benchmark and Controlled Study of LLM Cross-Domain Correlation for AWS Multi-Stage Kill-Chain Reconstruction</w:t>
      </w:r>
      <w:r/>
    </w:p>
    <w:p>
      <w:pPr>
        <w:pBdr/>
        <w:spacing w:after="20"/>
        <w:ind/>
        <w:jc w:val="center"/>
        <w:rPr/>
      </w:pPr>
      <w:r>
        <w:rPr>
          <w:rFonts w:ascii="Times New Roman" w:hAnsi="Times New Roman" w:eastAsia="Times New Roman" w:cs="Times New Roman"/>
          <w:sz w:val="21"/>
          <w:szCs w:val="21"/>
        </w:rPr>
        <w:t xml:space="preserve">Atishay Jain  Annamalai  </w:t>
      </w:r>
      <w:r/>
      <w:r/>
    </w:p>
    <w:p w14:paraId="2A264EF8">
      <w:pPr>
        <w:pBdr/>
        <w:spacing w:after="120" w:line="252" w:lineRule="auto"/>
        <w:ind/>
        <w:jc w:val="both"/>
        <w:rPr>
          <w:b/>
          <w:bCs/>
        </w:rPr>
      </w:pPr>
      <w:r>
        <w:rPr>
          <w:rFonts w:ascii="Times New Roman" w:hAnsi="Times New Roman" w:eastAsia="Times New Roman" w:cs="Times New Roman"/>
          <w:b/>
          <w:bCs/>
          <w:sz w:val="21"/>
          <w:szCs w:val="21"/>
          <w:highlight w:val="none"/>
        </w:rPr>
        <w:t xml:space="preserve">Abstract</w:t>
      </w:r>
      <w:r>
        <w:rPr>
          <w:rFonts w:ascii="Times New Roman" w:hAnsi="Times New Roman" w:eastAsia="Times New Roman" w:cs="Times New Roman"/>
          <w:b/>
          <w:bCs/>
          <w:sz w:val="21"/>
          <w:szCs w:val="21"/>
          <w:highlight w:val="none"/>
        </w:rPr>
      </w:r>
      <w:r>
        <w:rPr>
          <w:rFonts w:ascii="Times New Roman" w:hAnsi="Times New Roman" w:eastAsia="Times New Roman" w:cs="Times New Roman"/>
          <w:b/>
          <w:bCs/>
          <w:sz w:val="21"/>
          <w:szCs w:val="21"/>
          <w:highlight w:val="none"/>
        </w:rPr>
      </w:r>
    </w:p>
    <w:p>
      <w:pPr>
        <w:pBdr/>
        <w:spacing w:after="120" w:line="252" w:lineRule="auto"/>
        <w:ind/>
        <w:jc w:val="both"/>
        <w:rPr>
          <w:rFonts w:ascii="Times New Roman" w:hAnsi="Times New Roman" w:eastAsia="Times New Roman" w:cs="Times New Roman"/>
          <w:sz w:val="21"/>
          <w:szCs w:val="21"/>
          <w:highlight w:val="none"/>
        </w:rPr>
      </w:pPr>
      <w:r>
        <w:rPr>
          <w:rFonts w:ascii="Times New Roman" w:hAnsi="Times New Roman" w:eastAsia="Times New Roman" w:cs="Times New Roman"/>
          <w:sz w:val="21"/>
          <w:szCs w:val="21"/>
        </w:rPr>
        <w:t xml:space="preserve">Attacks on cloud infrastructure rarely leave a single, self-contained trace. A modern multi-stage kill chain—initial access, privilege escalation, defense evasion, credential access, discovery, and exfiltration—scatters its evidence across heterogeneous,</w:t>
      </w:r>
      <w:r>
        <w:rPr>
          <w:rFonts w:ascii="Times New Roman" w:hAnsi="Times New Roman" w:eastAsia="Times New Roman" w:cs="Times New Roman"/>
          <w:sz w:val="21"/>
          <w:szCs w:val="21"/>
        </w:rPr>
        <w:t xml:space="preserve"> siloed telemetry: IAM and CloudTrail API events, VPC Flow Logs, S3 access logs, and EC2 lifecycle events. These sources share no natural join key and arrive with different, variable delivery latencies, so reconstructing what happened requires correlation </w:t>
      </w:r>
      <w:r>
        <w:rPr>
          <w:rFonts w:ascii="Times New Roman" w:hAnsi="Times New Roman" w:eastAsia="Times New Roman" w:cs="Times New Roman"/>
          <w:i/>
          <w:iCs/>
          <w:sz w:val="21"/>
          <w:szCs w:val="21"/>
        </w:rPr>
        <w:t xml:space="preserve">across</w:t>
      </w:r>
      <w:r>
        <w:rPr>
          <w:rFonts w:ascii="Times New Roman" w:hAnsi="Times New Roman" w:eastAsia="Times New Roman" w:cs="Times New Roman"/>
          <w:sz w:val="21"/>
          <w:szCs w:val="21"/>
        </w:rPr>
        <w:t xml:space="preserve"> telemetry domains rather than within any one of them. Large Language Models (LLMs) have been pro</w:t>
      </w:r>
      <w:r>
        <w:rPr>
          <w:rFonts w:ascii="Times New Roman" w:hAnsi="Times New Roman" w:eastAsia="Times New Roman" w:cs="Times New Roman"/>
          <w:sz w:val="21"/>
          <w:szCs w:val="21"/>
        </w:rPr>
        <w:t xml:space="preserve">posed for security triage, but claims about their value are frequently made without fair baselines, without reproducible data, and without honest treatment of non-determinism. The concrete problem we study is: given heterogeneous AWS control-plane and netw</w:t>
      </w:r>
      <w:r>
        <w:rPr>
          <w:rFonts w:ascii="Times New Roman" w:hAnsi="Times New Roman" w:eastAsia="Times New Roman" w:cs="Times New Roman"/>
          <w:sz w:val="21"/>
          <w:szCs w:val="21"/>
        </w:rPr>
        <w:t xml:space="preserve">ork telemetry produced during a multi-stage attack, reconstruct the kill chain—identify which events belong to the attack, in what order, mapped to which ATT&amp;CK-for-Cloud techniques—and do so measurably better, or measurably no better, than fair baselines.</w:t>
      </w:r>
      <w:r/>
    </w:p>
    <w:p>
      <w:pPr>
        <w:pBdr/>
        <w:spacing w:after="120" w:line="252" w:lineRule="auto"/>
        <w:ind/>
        <w:jc w:val="both"/>
        <w:rPr/>
      </w:pPr>
      <w:r>
        <w:rPr>
          <w:rFonts w:ascii="Times New Roman" w:hAnsi="Times New Roman" w:eastAsia="Times New Roman" w:cs="Times New Roman"/>
          <w:sz w:val="21"/>
          <w:szCs w:val="21"/>
        </w:rPr>
        <w:t xml:space="preserve">There is no public AWS control-plane, multi-stage kill-chain dataset with machine-</w:t>
      </w:r>
      <w:r>
        <w:rPr>
          <w:rFonts w:ascii="Times New Roman" w:hAnsi="Times New Roman" w:eastAsia="Times New Roman" w:cs="Times New Roman"/>
          <w:sz w:val="21"/>
          <w:szCs w:val="21"/>
        </w:rPr>
        <w:t xml:space="preserve">checkable ground-truth. Existing security benchmarks target a different platform (e.g., Azure threat investigation), a different task (malware analysis, threat-intelligence reasoning, architectural threat modeling, or insider threat), or produce detection </w:t>
      </w:r>
      <w:r>
        <w:rPr>
          <w:rFonts w:ascii="Times New Roman" w:hAnsi="Times New Roman" w:eastAsia="Times New Roman" w:cs="Times New Roman"/>
          <w:i/>
          <w:iCs/>
          <w:sz w:val="21"/>
          <w:szCs w:val="21"/>
        </w:rPr>
        <w:t xml:space="preserve">rules</w:t>
      </w:r>
      <w:r>
        <w:rPr>
          <w:rFonts w:ascii="Times New Roman" w:hAnsi="Times New Roman" w:eastAsia="Times New Roman" w:cs="Times New Roman"/>
          <w:sz w:val="21"/>
          <w:szCs w:val="21"/>
        </w:rPr>
        <w:t xml:space="preserve"> rather than reconstructed </w:t>
      </w:r>
      <w:r>
        <w:rPr>
          <w:rFonts w:ascii="Times New Roman" w:hAnsi="Times New Roman" w:eastAsia="Times New Roman" w:cs="Times New Roman"/>
          <w:i/>
          <w:iCs/>
          <w:sz w:val="21"/>
          <w:szCs w:val="21"/>
        </w:rPr>
        <w:t xml:space="preserve">chains</w:t>
      </w:r>
      <w:r>
        <w:rPr>
          <w:rFonts w:ascii="Times New Roman" w:hAnsi="Times New Roman" w:eastAsia="Times New Roman" w:cs="Times New Roman"/>
          <w:sz w:val="21"/>
          <w:szCs w:val="21"/>
        </w:rPr>
        <w:t xml:space="preserve">. No prior artifact simultaneously provides AWS-control-plane specificity, multi-stage kill chains, open reproducibility, machine-checkable ground truth, and ATT&amp;CK-for-Cloud mapping. CloudKC-Bench is designed to fill exactly this gap.</w:t>
      </w:r>
      <w:r/>
    </w:p>
    <w:p>
      <w:pPr>
        <w:pBdr/>
        <w:spacing w:after="120" w:line="252" w:lineRule="auto"/>
        <w:ind/>
        <w:jc w:val="both"/>
        <w:rPr/>
      </w:pPr>
      <w:r>
        <w:rPr>
          <w:rFonts w:ascii="Times New Roman" w:hAnsi="Times New Roman" w:eastAsia="Times New Roman" w:cs="Times New Roman"/>
          <w:b/>
          <w:bCs/>
          <w:sz w:val="21"/>
          <w:szCs w:val="21"/>
        </w:rPr>
        <w:t xml:space="preserve">The benchmark,  </w:t>
      </w:r>
      <w:r>
        <w:rPr>
          <w:rFonts w:ascii="Times New Roman" w:hAnsi="Times New Roman" w:eastAsia="Times New Roman" w:cs="Times New Roman"/>
          <w:sz w:val="21"/>
          <w:szCs w:val="21"/>
        </w:rPr>
        <w:t xml:space="preserve">CloudKC-Bench comprises approximately 69 scenarios across five never</w:t>
      </w:r>
      <w:r>
        <w:rPr>
          <w:rFonts w:ascii="Times New Roman" w:hAnsi="Times New Roman" w:eastAsia="Times New Roman" w:cs="Times New Roman"/>
          <w:sz w:val="21"/>
          <w:szCs w:val="21"/>
        </w:rPr>
        <w:t xml:space="preserve">-pooled categories—single-domain attacks (a sanity floor), multi-stage kill chains (the primary test), low-and-slow evasion, ephemeral compute, and benign noise (for false-positive measurement)—plus a sealed held-out set of ten. Every scenario cites a docu</w:t>
      </w:r>
      <w:r>
        <w:rPr>
          <w:rFonts w:ascii="Times New Roman" w:hAnsi="Times New Roman" w:eastAsia="Times New Roman" w:cs="Times New Roman"/>
          <w:sz w:val="21"/>
          <w:szCs w:val="21"/>
        </w:rPr>
        <w:t xml:space="preserve">mented real-incident pattern (for example, the 2019 Capital One SSRF→IMDS→S3 chain, SCARLETEEL, and TeamTNT cryptojacking) and one or more ATT&amp;CK-for-Cloud techniques. Each ships a machine-checkable manifest—an ordered list of stages, each with a technique</w:t>
      </w:r>
      <w:r>
        <w:rPr>
          <w:rFonts w:ascii="Times New Roman" w:hAnsi="Times New Roman" w:eastAsia="Times New Roman" w:cs="Times New Roman"/>
          <w:sz w:val="21"/>
          <w:szCs w:val="21"/>
        </w:rPr>
        <w:t xml:space="preserve"> id, telemetry source, evidence event ids, and a timestamp range—validated against a published JSON Schema. Crucially, ground truth lives only in the manifest, never in the event payload the systems read, so an attack API call is, in isolation, indistingui</w:t>
      </w:r>
      <w:r>
        <w:rPr>
          <w:rFonts w:ascii="Times New Roman" w:hAnsi="Times New Roman" w:eastAsia="Times New Roman" w:cs="Times New Roman"/>
          <w:sz w:val="21"/>
          <w:szCs w:val="21"/>
        </w:rPr>
        <w:t xml:space="preserve">shable from benign activity. Scoring is an exact, deterministic function of (reconstructed chain, manifest): a reported stage matches only if the technique, telemetry source, and cited evidence all agree, which prevents “right answer, wrong reason” credit.</w:t>
      </w:r>
      <w:r/>
    </w:p>
    <w:p>
      <w:pPr>
        <w:pBdr/>
        <w:spacing w:after="120" w:line="252" w:lineRule="auto"/>
        <w:ind/>
        <w:jc w:val="both"/>
        <w:rPr/>
      </w:pPr>
      <w:r>
        <w:rPr>
          <w:rFonts w:ascii="Times New Roman" w:hAnsi="Times New Roman" w:eastAsia="Times New Roman" w:cs="Times New Roman"/>
          <w:b/>
          <w:bCs/>
          <w:sz w:val="21"/>
          <w:szCs w:val="21"/>
        </w:rPr>
        <w:t xml:space="preserve">The controlled ablation. </w:t>
      </w:r>
      <w:r>
        <w:rPr>
          <w:rFonts w:ascii="Times New Roman" w:hAnsi="Times New Roman" w:eastAsia="Times New Roman" w:cs="Times New Roman"/>
          <w:sz w:val="21"/>
          <w:szCs w:val="21"/>
        </w:rPr>
        <w:t xml:space="preserve">Using the benchmark we run a pre-registered four-arm ablation that holds model, telemetry, and compute fixed and varies exactly one factor per comparison, plus an independent community Sigma-rules baseline:</w:t>
      </w:r>
      <w:r/>
    </w:p>
    <w:tbl>
      <w:tblPr>
        <w:tblW w:w="9360" w:type="dxa"/>
        <w:tblBorders>
          <w:top w:val="single" w:color="aaaaaa" w:sz="4" w:space="0"/>
          <w:left w:val="single" w:color="aaaaaa" w:sz="4" w:space="0"/>
          <w:bottom w:val="single" w:color="aaaaaa" w:sz="4" w:space="0"/>
          <w:right w:val="single" w:color="aaaaaa" w:sz="4" w:space="0"/>
          <w:insideH w:val="single" w:color="cccccc" w:sz="2" w:space="0"/>
          <w:insideV w:val="single" w:color="cccccc" w:sz="2" w:space="0"/>
        </w:tblBorders>
        <w:tblLook w:val="04A0" w:firstRow="1" w:lastRow="0" w:firstColumn="1" w:lastColumn="0" w:noHBand="0" w:noVBand="1"/>
      </w:tblPr>
      <w:tblGrid>
        <w:gridCol w:w="820"/>
        <w:gridCol w:w="5140"/>
        <w:gridCol w:w="3400"/>
      </w:tblGrid>
      <w:tr>
        <w:trPr>
          <w:tblHeader/>
        </w:trPr>
        <w:tc>
          <w:tcPr>
            <w:shd w:val="clear" w:color="auto" w:fill="1f3864"/>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ffffff"/>
                <w:sz w:val="19"/>
                <w:szCs w:val="19"/>
              </w:rPr>
              <w:t xml:space="preserve">Arm</w:t>
            </w:r>
            <w:r/>
          </w:p>
        </w:tc>
        <w:tc>
          <w:tcPr>
            <w:shd w:val="clear" w:color="auto" w:fill="1f3864"/>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bCs/>
                <w:color w:val="ffffff"/>
                <w:sz w:val="19"/>
                <w:szCs w:val="19"/>
              </w:rPr>
              <w:t xml:space="preserve">Configuration</w:t>
            </w:r>
            <w:r/>
          </w:p>
        </w:tc>
        <w:tc>
          <w:tcPr>
            <w:shd w:val="clear" w:color="auto" w:fill="1f3864"/>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bCs/>
                <w:color w:val="ffffff"/>
                <w:sz w:val="19"/>
                <w:szCs w:val="19"/>
              </w:rPr>
              <w:t xml:space="preserve">What it isolates</w:t>
            </w:r>
            <w:r/>
          </w:p>
        </w:tc>
      </w:tr>
      <w:tr>
        <w:trPr/>
        <w:tc>
          <w:tcPr>
            <w:shd w:val="clear" w:color="auto" w:fill="ffffff"/>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000000"/>
                <w:sz w:val="19"/>
                <w:szCs w:val="19"/>
              </w:rPr>
              <w:t xml:space="preserve">A1</w:t>
            </w:r>
            <w:r/>
          </w:p>
        </w:tc>
        <w:tc>
          <w:tcPr>
            <w:shd w:val="clear" w:color="auto" w:fill="ffffff"/>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Pre-filter + four domain hunters + coordinator (full system)</w:t>
            </w:r>
            <w:r/>
          </w:p>
        </w:tc>
        <w:tc>
          <w:tcPr>
            <w:shd w:val="clear" w:color="auto" w:fill="ffffff"/>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Reference architecture</w:t>
            </w:r>
            <w:r/>
          </w:p>
        </w:tc>
      </w:tr>
      <w:tr>
        <w:trPr/>
        <w:tc>
          <w:tcPr>
            <w:shd w:val="clear" w:color="auto" w:fill="f2f5fa"/>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000000"/>
                <w:sz w:val="19"/>
                <w:szCs w:val="19"/>
              </w:rPr>
              <w:t xml:space="preserve">A2</w:t>
            </w:r>
            <w:r/>
          </w:p>
        </w:tc>
        <w:tc>
          <w:tcPr>
            <w:shd w:val="clear" w:color="auto" w:fill="f2f5fa"/>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Pre-filter + single generalised LLM agent</w:t>
            </w:r>
            <w:r/>
          </w:p>
        </w:tc>
        <w:tc>
          <w:tcPr>
            <w:shd w:val="clear" w:color="auto" w:fill="f2f5fa"/>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A1 vs A2 → value of multi-agent decomposition (H2)</w:t>
            </w:r>
            <w:r/>
          </w:p>
        </w:tc>
      </w:tr>
      <w:tr>
        <w:trPr/>
        <w:tc>
          <w:tcPr>
            <w:shd w:val="clear" w:color="auto" w:fill="ffffff"/>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000000"/>
                <w:sz w:val="19"/>
                <w:szCs w:val="19"/>
              </w:rPr>
              <w:t xml:space="preserve">A3</w:t>
            </w:r>
            <w:r/>
          </w:p>
        </w:tc>
        <w:tc>
          <w:tcPr>
            <w:shd w:val="clear" w:color="auto" w:fill="ffffff"/>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Single agent on raw logs, no pre-filter</w:t>
            </w:r>
            <w:r/>
          </w:p>
        </w:tc>
        <w:tc>
          <w:tcPr>
            <w:shd w:val="clear" w:color="auto" w:fill="ffffff"/>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A2 vs A3 → value of the pre-filter (cost/recall)</w:t>
            </w:r>
            <w:r/>
          </w:p>
        </w:tc>
      </w:tr>
      <w:tr>
        <w:trPr/>
        <w:tc>
          <w:tcPr>
            <w:shd w:val="clear" w:color="auto" w:fill="f2f5fa"/>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000000"/>
                <w:sz w:val="19"/>
                <w:szCs w:val="19"/>
              </w:rPr>
              <w:t xml:space="preserve">A4</w:t>
            </w:r>
            <w:r/>
          </w:p>
        </w:tc>
        <w:tc>
          <w:tcPr>
            <w:shd w:val="clear" w:color="auto" w:fill="f2f5fa"/>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Pre-filter + deterministic rules, no LLM</w:t>
            </w:r>
            <w:r/>
          </w:p>
        </w:tc>
        <w:tc>
          <w:tcPr>
            <w:shd w:val="clear" w:color="auto" w:fill="f2f5fa"/>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A1/A2 vs A4 → value of the LLM (H1)</w:t>
            </w:r>
            <w:r/>
          </w:p>
        </w:tc>
      </w:tr>
      <w:tr>
        <w:trPr/>
        <w:tc>
          <w:tcPr>
            <w:shd w:val="clear" w:color="auto" w:fill="ffffff"/>
            <w:tcBorders/>
            <w:tcMar>
              <w:left w:w="80" w:type="dxa"/>
              <w:top w:w="40" w:type="dxa"/>
              <w:right w:w="80" w:type="dxa"/>
              <w:bottom w:w="40" w:type="dxa"/>
            </w:tcMar>
            <w:tcW w:w="820" w:type="dxa"/>
            <w:textDirection w:val="lrTb"/>
            <w:noWrap w:val="false"/>
          </w:tcPr>
          <w:p>
            <w:pPr>
              <w:pBdr/>
              <w:spacing w:after="0" w:line="240" w:lineRule="auto"/>
              <w:ind/>
              <w:jc w:val="left"/>
              <w:rPr/>
            </w:pPr>
            <w:r>
              <w:rPr>
                <w:rFonts w:ascii="Times New Roman" w:hAnsi="Times New Roman" w:eastAsia="Times New Roman" w:cs="Times New Roman"/>
                <w:b/>
                <w:bCs/>
                <w:color w:val="000000"/>
                <w:sz w:val="19"/>
                <w:szCs w:val="19"/>
              </w:rPr>
              <w:t xml:space="preserve">SIGMA</w:t>
            </w:r>
            <w:r/>
          </w:p>
        </w:tc>
        <w:tc>
          <w:tcPr>
            <w:shd w:val="clear" w:color="auto" w:fill="ffffff"/>
            <w:tcBorders/>
            <w:tcMar>
              <w:left w:w="80" w:type="dxa"/>
              <w:top w:w="40" w:type="dxa"/>
              <w:right w:w="80" w:type="dxa"/>
              <w:bottom w:w="40" w:type="dxa"/>
            </w:tcMar>
            <w:tcW w:w="514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Community Sigma rules, no LLM (external baseline)</w:t>
            </w:r>
            <w:r/>
          </w:p>
        </w:tc>
        <w:tc>
          <w:tcPr>
            <w:shd w:val="clear" w:color="auto" w:fill="ffffff"/>
            <w:tcBorders/>
            <w:tcMar>
              <w:left w:w="80" w:type="dxa"/>
              <w:top w:w="40" w:type="dxa"/>
              <w:right w:w="80" w:type="dxa"/>
              <w:bottom w:w="40" w:type="dxa"/>
            </w:tcMar>
            <w:tcW w:w="3400" w:type="dxa"/>
            <w:textDirection w:val="lrTb"/>
            <w:noWrap w:val="false"/>
          </w:tcPr>
          <w:p>
            <w:pPr>
              <w:pBdr/>
              <w:spacing w:after="0" w:line="240" w:lineRule="auto"/>
              <w:ind/>
              <w:jc w:val="left"/>
              <w:rPr/>
            </w:pPr>
            <w:r>
              <w:rPr>
                <w:rFonts w:ascii="Times New Roman" w:hAnsi="Times New Roman" w:eastAsia="Times New Roman" w:cs="Times New Roman"/>
                <w:b w:val="0"/>
                <w:bCs w:val="0"/>
                <w:color w:val="000000"/>
                <w:sz w:val="19"/>
                <w:szCs w:val="19"/>
              </w:rPr>
              <w:t xml:space="preserve">Guards against a rigged rules arm</w:t>
            </w:r>
            <w:r/>
          </w:p>
        </w:tc>
      </w:tr>
    </w:tbl>
    <w:p>
      <w:pPr>
        <w:pBdr/>
        <w:spacing w:after="120" w:before="120" w:line="252" w:lineRule="auto"/>
        <w:ind/>
        <w:jc w:val="both"/>
        <w:rPr/>
      </w:pPr>
      <w:r>
        <w:rPr>
          <w:rFonts w:ascii="Times New Roman" w:hAnsi="Times New Roman" w:eastAsia="Times New Roman" w:cs="Times New Roman"/>
          <w:b/>
          <w:bCs/>
          <w:sz w:val="21"/>
          <w:szCs w:val="21"/>
        </w:rPr>
        <w:t xml:space="preserve">Two scoring lenses. </w:t>
      </w:r>
      <w:r>
        <w:rPr>
          <w:rFonts w:ascii="Times New Roman" w:hAnsi="Times New Roman" w:eastAsia="Times New Roman" w:cs="Times New Roman"/>
          <w:sz w:val="21"/>
          <w:szCs w:val="21"/>
        </w:rPr>
        <w:t xml:space="preserve">We report every result under two complementary lenses: a strict </w:t>
      </w:r>
      <w:r>
        <w:rPr>
          <w:rFonts w:ascii="Times New Roman" w:hAnsi="Times New Roman" w:eastAsia="Times New Roman" w:cs="Times New Roman"/>
          <w:i/>
          <w:iCs/>
          <w:sz w:val="21"/>
          <w:szCs w:val="21"/>
        </w:rPr>
        <w:t xml:space="preserve">technique-level</w:t>
      </w:r>
      <w:r>
        <w:rPr>
          <w:rFonts w:ascii="Times New Roman" w:hAnsi="Times New Roman" w:eastAsia="Times New Roman" w:cs="Times New Roman"/>
          <w:sz w:val="21"/>
          <w:szCs w:val="21"/>
        </w:rPr>
        <w:t xml:space="preserve"> lens (a stage is correct only if the exact ATT&amp;CK technique, source, and evidence match) and a technique-agnostic </w:t>
      </w:r>
      <w:r>
        <w:rPr>
          <w:rFonts w:ascii="Times New Roman" w:hAnsi="Times New Roman" w:eastAsia="Times New Roman" w:cs="Times New Roman"/>
          <w:i/>
          <w:iCs/>
          <w:sz w:val="21"/>
          <w:szCs w:val="21"/>
        </w:rPr>
        <w:t xml:space="preserve">event-level</w:t>
      </w:r>
      <w:r>
        <w:rPr>
          <w:rFonts w:ascii="Times New Roman" w:hAnsi="Times New Roman" w:eastAsia="Times New Roman" w:cs="Times New Roman"/>
          <w:sz w:val="21"/>
          <w:szCs w:val="21"/>
        </w:rPr>
        <w:t xml:space="preserve"> lens (did the arm cite the ground-truth attack events at all?). Separating these distinguishes </w:t>
      </w:r>
      <w:r>
        <w:rPr>
          <w:rFonts w:ascii="Times New Roman" w:hAnsi="Times New Roman" w:eastAsia="Times New Roman" w:cs="Times New Roman"/>
          <w:i/>
          <w:iCs/>
          <w:sz w:val="21"/>
          <w:szCs w:val="21"/>
        </w:rPr>
        <w:t xml:space="preserve">finding</w:t>
      </w:r>
      <w:r>
        <w:rPr>
          <w:rFonts w:ascii="Times New Roman" w:hAnsi="Times New Roman" w:eastAsia="Times New Roman" w:cs="Times New Roman"/>
          <w:sz w:val="21"/>
          <w:szCs w:val="21"/>
        </w:rPr>
        <w:t xml:space="preserve"> the attack from </w:t>
      </w:r>
      <w:r>
        <w:rPr>
          <w:rFonts w:ascii="Times New Roman" w:hAnsi="Times New Roman" w:eastAsia="Times New Roman" w:cs="Times New Roman"/>
          <w:i/>
          <w:iCs/>
          <w:sz w:val="21"/>
          <w:szCs w:val="21"/>
        </w:rPr>
        <w:t xml:space="preserve">naming</w:t>
      </w:r>
      <w:r>
        <w:rPr>
          <w:rFonts w:ascii="Times New Roman" w:hAnsi="Times New Roman" w:eastAsia="Times New Roman" w:cs="Times New Roman"/>
          <w:sz w:val="21"/>
          <w:szCs w:val="21"/>
        </w:rPr>
        <w:t xml:space="preserve"> the technique. Scenarios run in two environments emitting an identical schema: a reproducible layer (deterministic synthetic generation and LocalStack) and a real-AWS sandbox for external validity.</w:t>
      </w: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CloudKC-Bench — Extended Abstract</dc:title>
  <dc:creator>ISFCR, PES University</dc:creator>
  <cp:revision>2</cp:revision>
  <dcterms:created xsi:type="dcterms:W3CDTF">2026-07-14T08:26:35Z</dcterms:created>
  <dcterms:modified xsi:type="dcterms:W3CDTF">2026-07-14T08:33:45Z</dcterms:modified>
</cp:coreProperties>
</file>