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Instrumentenbegründung</w:t>
      </w:r>
    </w:p>
    <w:p>
      <w:pPr>
        <w:spacing w:after="60"/>
      </w:pPr>
      <w:r>
        <w:rPr>
          <w:sz w:val="24"/>
          <w:szCs w:val="24"/>
        </w:rPr>
        <w:t xml:space="preserve">Erhebung LV 54612 „Generative KI und Ableismus“ · Gr. 9/10 · WiSe 26/27</w:t>
      </w:r>
    </w:p>
    <w:p>
      <w:pPr>
        <w:spacing w:after="240"/>
      </w:pPr>
      <w:r>
        <w:rPr>
          <w:color w:val="555555"/>
          <w:sz w:val="20"/>
          <w:szCs w:val="20"/>
        </w:rPr>
        <w:t xml:space="preserve">Arbeitsfassung v0.1 · Stand 09.10.2026 · Entwurf für Hendrik Wiese, nicht abgestimmt</w:t>
      </w:r>
    </w:p>
    <w:p>
      <w:pPr>
        <w:pStyle w:val="Heading2"/>
      </w:pPr>
      <w:r>
        <w:t xml:space="preserve">Vorbemerkung: Arbeitsgrundlage und Prüfstand</w:t>
      </w:r>
    </w:p>
    <w:p>
      <w:pPr>
        <w:spacing w:after="120"/>
      </w:pPr>
      <w:r>
        <w:rPr>
          <w:b/>
          <w:bCs/>
        </w:rPr>
        <w:t xml:space="preserve">Grundlage.</w:t>
      </w:r>
      <w:r>
        <w:t xml:space="preserve"> Grundlage ist allein der Auftrag vom 09.10.2026 (Kontext, Setzungen, Itemvorschlag aus dem Vorchat). Das Leitdokument „Forschungsdesign v0.1“, die Entscheidungsliste, der reason8-Testlauf, die Karteikarten und die Volltexte (Material/_volltext) waren in dieser Sitzung </w:t>
      </w:r>
      <w:r>
        <w:rPr>
          <w:b/>
          <w:bCs/>
        </w:rPr>
        <w:t xml:space="preserve">nicht zugänglich</w:t>
      </w:r>
      <w:r>
        <w:t xml:space="preserve">: Sie liegen weder im Repository noch waren sie in Google Drive auffindbar. Im Repository lag nur die Erhebungskarte vom 30.09.2026, die ich an zwei Stellen heranziehe. Zitate und Seitenangaben gebe ich deshalb nicht an.</w:t>
      </w:r>
    </w:p>
    <w:p>
      <w:pPr>
        <w:spacing w:after="120"/>
      </w:pPr>
      <w:r>
        <w:rPr>
          <w:b/>
          <w:bCs/>
        </w:rPr>
        <w:t xml:space="preserve">Quellenprüfung.</w:t>
      </w:r>
      <w:r>
        <w:t xml:space="preserve"> Jede DOI habe ich über Crossref geprüft. Abstracts habe ich, soweit verfügbar, über OpenAlex gelesen. Volltexte konnte ich nicht abrufen, weil der Container außer den Literaturdiensten keine Verlagsseiten erreicht. GESIS/ZIS ließ sich nicht direkt aufrufen. Die Prüfung auf deutsche Fassungen beruht deshalb auf Websuchen und ist </w:t>
      </w:r>
      <w:r>
        <w:rPr>
          <w:b/>
          <w:bCs/>
        </w:rPr>
        <w:t xml:space="preserve">unvollständig</w:t>
      </w:r>
      <w:r>
        <w:t xml:space="preserve">. Das Prüfprotokoll steht in Anhang A, die Abweichungen vom Vorschlag in Anhang B.</w:t>
      </w:r>
    </w:p>
    <w:p>
      <w:pPr>
        <w:spacing w:after="120"/>
      </w:pPr>
      <w:r>
        <w:rPr>
          <w:b/>
          <w:bCs/>
        </w:rPr>
        <w:t xml:space="preserve">Kennzeichnung.</w:t>
      </w:r>
      <w:r>
        <w:t xml:space="preserve"> [Befund] = empirischer Befund, belegt mindestens am Abstract · [Annahme] = theoretische Annahme · [Interpretation] = meine Deutung · [Empfehlung] = mein Vorschlag. „ungeprüft“ = nicht an der Quelle verifiziert. ✓ = DOI bei Crossref registriert, Metadaten abgeglichen. Itemwortlaute validierter Skalen gebe ich nicht wieder („Wortlaut aus Quelle übernehmen“). Alle übrigen Wortlaute sind </w:t>
      </w:r>
      <w:r>
        <w:rPr>
          <w:b/>
          <w:bCs/>
        </w:rPr>
        <w:t xml:space="preserve">eigene Entwürfe</w:t>
      </w:r>
      <w:r>
        <w:t xml:space="preserve">.</w:t>
      </w:r>
    </w:p>
    <w:p>
      <w:pPr>
        <w:pStyle w:val="Heading2"/>
      </w:pPr>
      <w:r>
        <w:t xml:space="preserve">Die wichtigsten Einwände vorab</w:t>
      </w:r>
    </w:p>
    <w:p>
      <w:pPr>
        <w:pStyle w:val="ListParagraph"/>
        <w:numPr>
          <w:ilvl w:val="0"/>
          <w:numId w:val="2"/>
        </w:numPr>
        <w:spacing w:after="80"/>
      </w:pPr>
      <w:r>
        <w:rPr>
          <w:b/>
          <w:bCs/>
        </w:rPr>
        <w:t xml:space="preserve">„Kein Score auf Personenebene“ kollidiert mit zwei Instrumenten.</w:t>
      </w:r>
      <w:r>
        <w:t xml:space="preserve"> Ein Skalenmittelwert für KI-Vertrauen (Körber) oder KI-Literacy (MAILS, AILIT-S) ist ein Score auf Personenebene. Entweder wird die Setzung präzisiert („kein bewertender Score über Personen“) oder diese Skalen entfallen. Ich empfehle, beide wegzulassen, weil sie für Erkenntnisinteresse A und B keine Funktion haben (Teil 5, Nr. 1 und 6).</w:t>
      </w:r>
    </w:p>
    <w:p>
      <w:pPr>
        <w:pStyle w:val="ListParagraph"/>
        <w:numPr>
          <w:ilvl w:val="0"/>
          <w:numId w:val="2"/>
        </w:numPr>
        <w:spacing w:after="80"/>
      </w:pPr>
      <w:r>
        <w:rPr>
          <w:b/>
          <w:bCs/>
        </w:rPr>
        <w:t xml:space="preserve">„Metakognitive Kalibrierung“ lässt sich nicht berechnen.</w:t>
      </w:r>
      <w:r>
        <w:t xml:space="preserve"> Kalibrierung setzt ein Genauigkeitskriterium voraus. Bei Ren (2026) waren das richtige oder falsche Antworten. Die Alt-Text-Qualität wird hier aber ausdrücklich nicht kodiert. Die Konfidenzitems sind deshalb reine Selbsteinschätzungen. Die Funktionsbezeichnung ist zu ändern.</w:t>
      </w:r>
    </w:p>
    <w:p>
      <w:pPr>
        <w:pStyle w:val="ListParagraph"/>
        <w:numPr>
          <w:ilvl w:val="0"/>
          <w:numId w:val="2"/>
        </w:numPr>
        <w:spacing w:after="80"/>
      </w:pPr>
      <w:r>
        <w:rPr>
          <w:b/>
          <w:bCs/>
        </w:rPr>
        <w:t xml:space="preserve">Ein Item zur Kenntnis von Screenreadern vor den Texten widerspricht der eigenen Setzung.</w:t>
      </w:r>
      <w:r>
        <w:t xml:space="preserve"> Der Begriff „Screenreader“ verweist auf Blindheit bzw. Sehbeeinträchtigung und damit auf Behinderung. Bei neutraler Aufgabeninstruktion (Erhebungskarte, 30.09.) gehört das Item ans Ende von t1.</w:t>
      </w:r>
    </w:p>
    <w:p>
      <w:pPr>
        <w:pStyle w:val="ListParagraph"/>
        <w:numPr>
          <w:ilvl w:val="0"/>
          <w:numId w:val="2"/>
        </w:numPr>
        <w:spacing w:after="80"/>
      </w:pPr>
      <w:r>
        <w:rPr>
          <w:b/>
          <w:bCs/>
        </w:rPr>
        <w:t xml:space="preserve">Interviewantworten sind KI-Eingaben.</w:t>
      </w:r>
      <w:r>
        <w:t xml:space="preserve"> Die Setzung „keine personenbezogenen Daten in KI-Eingaben“ lässt sich für das Reflexionsinterview nicht garantieren. Spontane Angaben zu eigener Behinderung landen beim Modellanbieter. Das gilt auch in Variante A, in der das Behinderungsitem nicht erhoben wird. Der Einwilligungstext muss das abdecken.</w:t>
      </w:r>
    </w:p>
    <w:p>
      <w:pPr>
        <w:pStyle w:val="ListParagraph"/>
        <w:numPr>
          <w:ilvl w:val="0"/>
          <w:numId w:val="2"/>
        </w:numPr>
        <w:spacing w:after="80"/>
      </w:pPr>
      <w:r>
        <w:rPr>
          <w:b/>
          <w:bCs/>
        </w:rPr>
        <w:t xml:space="preserve">Sechs Fragen in etwa zwei Minuten sind unrealistisch.</w:t>
      </w:r>
      <w:r>
        <w:t xml:space="preserve"> Das sind etwa 20 Sekunden je Frage samt Tippen und Nachfrage. Entweder wird das Zeitfenster größer (Richtwert 6–8 min, [Annahme], im Pretest prüfen) oder die Zahl der Kernfragen kleiner.</w:t>
      </w:r>
    </w:p>
    <w:p>
      <w:pPr>
        <w:pStyle w:val="ListParagraph"/>
        <w:numPr>
          <w:ilvl w:val="0"/>
          <w:numId w:val="2"/>
        </w:numPr>
        <w:spacing w:after="80"/>
      </w:pPr>
      <w:r>
        <w:rPr>
          <w:b/>
          <w:bCs/>
        </w:rPr>
        <w:t xml:space="preserve">Koch et al. 2024 (doi:10.1016/j.caeai.2024.100310) ist nicht die MAILS-Kurzform.</w:t>
      </w:r>
      <w:r>
        <w:t xml:space="preserve"> Die Kurzform steht in Heliyon 10(21), e39686 (Anhang B).</w:t>
      </w:r>
    </w:p>
    <w:p>
      <w:pPr>
        <w:pStyle w:val="Heading2"/>
      </w:pPr>
      <w:r>
        <w:t xml:space="preserve">Aufbau</w:t>
      </w:r>
    </w:p>
    <w:p>
      <w:pPr>
        <w:spacing w:after="120"/>
      </w:pPr>
      <w:r>
        <w:t xml:space="preserve">1 Begründungstabelle (mit 1b: Behinderungs- oder Diskriminierungserfahrung) · 2 Reihenfolge · 3 Interviewleitfaden · 4 Auswertungsgrenzen · 5 Offene Entscheidungen · 6 Qualitätssicherung · Anhang A Prüfprotokoll · Anhang B Abweichungen vom Vorschlag</w:t>
      </w:r>
    </w:p>
    <w:p>
      <w:pPr>
        <w:sectPr>
          <w:footerReference w:type="default" r:id="rId7"/>
          <w:pgSz w:w="11906" w:h="16838" w:orient="portrait"/>
          <w:pgMar w:top="1134" w:right="1134" w:bottom="1134" w:left="1134" w:header="708" w:footer="708" w:gutter="0"/>
          <w:pgNumType/>
          <w:docGrid w:linePitch="360"/>
        </w:sectPr>
      </w:pPr>
    </w:p>
    <w:p>
      <w:pPr>
        <w:pStyle w:val="Heading1"/>
      </w:pPr>
      <w:r>
        <w:t xml:space="preserve">1  Begründungstabelle</w:t>
      </w:r>
    </w:p>
    <w:p>
      <w:pPr>
        <w:spacing w:after="120"/>
      </w:pPr>
      <w:r>
        <w:t xml:space="preserve">Gruppiert nach Erhebungsphasen. Reihenfolge innerhalb der Gruppen = empfohlene Position. Spaltenkürzel: EI = Erkenntnisinteresse.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650"/>
        <w:gridCol w:w="1450"/>
        <w:gridCol w:w="1450"/>
        <w:gridCol w:w="2350"/>
        <w:gridCol w:w="1850"/>
        <w:gridCol w:w="1900"/>
        <w:gridCol w:w="2300"/>
        <w:gridCol w:w="1448"/>
      </w:tblGrid>
      <w:tr>
        <w:trPr>
          <w:tblHeader/>
        </w:trPr>
        <w:tc>
          <w:tcPr>
            <w:tcW w:type="dxa" w:w="2650"/>
            <w:tcBorders>
              <w:top w:val="single" w:color="999999" w:sz="4"/>
              <w:left w:val="single" w:color="999999" w:sz="4"/>
              <w:bottom w:val="single" w:color="999999" w:sz="4"/>
              <w:right w:val="single" w:color="999999" w:sz="4"/>
            </w:tcBorders>
            <w:shd w:fill="D9E2EC" w:color="auto" w:val="clear"/>
            <w:tcMar>
              <w:top w:type="dxa" w:w="50"/>
              <w:left w:type="dxa" w:w="80"/>
              <w:bottom w:type="dxa" w:w="50"/>
              <w:right w:type="dxa" w:w="80"/>
            </w:tcMar>
          </w:tcPr>
          <w:p>
            <w:pPr>
              <w:spacing w:after="40"/>
            </w:pPr>
            <w:r>
              <w:rPr>
                <w:b/>
                <w:bCs/>
                <w:sz w:val="16"/>
                <w:szCs w:val="16"/>
              </w:rPr>
              <w:t xml:space="preserve">Item (Wortlaut)</w:t>
            </w:r>
          </w:p>
        </w:tc>
        <w:tc>
          <w:tcPr>
            <w:tcW w:type="dxa" w:w="1450"/>
            <w:tcBorders>
              <w:top w:val="single" w:color="999999" w:sz="4"/>
              <w:left w:val="single" w:color="999999" w:sz="4"/>
              <w:bottom w:val="single" w:color="999999" w:sz="4"/>
              <w:right w:val="single" w:color="999999" w:sz="4"/>
            </w:tcBorders>
            <w:shd w:fill="D9E2EC" w:color="auto" w:val="clear"/>
            <w:tcMar>
              <w:top w:type="dxa" w:w="50"/>
              <w:left w:type="dxa" w:w="80"/>
              <w:bottom w:type="dxa" w:w="50"/>
              <w:right w:type="dxa" w:w="80"/>
            </w:tcMar>
          </w:tcPr>
          <w:p>
            <w:pPr>
              <w:spacing w:after="40"/>
            </w:pPr>
            <w:r>
              <w:rPr>
                <w:b/>
                <w:bCs/>
                <w:sz w:val="16"/>
                <w:szCs w:val="16"/>
              </w:rPr>
              <w:t xml:space="preserve">Antwortformat</w:t>
            </w:r>
          </w:p>
        </w:tc>
        <w:tc>
          <w:tcPr>
            <w:tcW w:type="dxa" w:w="1450"/>
            <w:tcBorders>
              <w:top w:val="single" w:color="999999" w:sz="4"/>
              <w:left w:val="single" w:color="999999" w:sz="4"/>
              <w:bottom w:val="single" w:color="999999" w:sz="4"/>
              <w:right w:val="single" w:color="999999" w:sz="4"/>
            </w:tcBorders>
            <w:shd w:fill="D9E2EC" w:color="auto" w:val="clear"/>
            <w:tcMar>
              <w:top w:type="dxa" w:w="50"/>
              <w:left w:type="dxa" w:w="80"/>
              <w:bottom w:type="dxa" w:w="50"/>
              <w:right w:type="dxa" w:w="80"/>
            </w:tcMar>
          </w:tcPr>
          <w:p>
            <w:pPr>
              <w:spacing w:after="40"/>
            </w:pPr>
            <w:r>
              <w:rPr>
                <w:b/>
                <w:bCs/>
                <w:sz w:val="16"/>
                <w:szCs w:val="16"/>
              </w:rPr>
              <w:t xml:space="preserve">Konstrukt</w:t>
            </w:r>
          </w:p>
        </w:tc>
        <w:tc>
          <w:tcPr>
            <w:tcW w:type="dxa" w:w="2350"/>
            <w:tcBorders>
              <w:top w:val="single" w:color="999999" w:sz="4"/>
              <w:left w:val="single" w:color="999999" w:sz="4"/>
              <w:bottom w:val="single" w:color="999999" w:sz="4"/>
              <w:right w:val="single" w:color="999999" w:sz="4"/>
            </w:tcBorders>
            <w:shd w:fill="D9E2EC" w:color="auto" w:val="clear"/>
            <w:tcMar>
              <w:top w:type="dxa" w:w="50"/>
              <w:left w:type="dxa" w:w="80"/>
              <w:bottom w:type="dxa" w:w="50"/>
              <w:right w:type="dxa" w:w="80"/>
            </w:tcMar>
          </w:tcPr>
          <w:p>
            <w:pPr>
              <w:spacing w:after="40"/>
            </w:pPr>
            <w:r>
              <w:rPr>
                <w:b/>
                <w:bCs/>
                <w:sz w:val="16"/>
                <w:szCs w:val="16"/>
              </w:rPr>
              <w:t xml:space="preserve">Quelle(n)</w:t>
            </w:r>
          </w:p>
        </w:tc>
        <w:tc>
          <w:tcPr>
            <w:tcW w:type="dxa" w:w="1850"/>
            <w:tcBorders>
              <w:top w:val="single" w:color="999999" w:sz="4"/>
              <w:left w:val="single" w:color="999999" w:sz="4"/>
              <w:bottom w:val="single" w:color="999999" w:sz="4"/>
              <w:right w:val="single" w:color="999999" w:sz="4"/>
            </w:tcBorders>
            <w:shd w:fill="D9E2EC" w:color="auto" w:val="clear"/>
            <w:tcMar>
              <w:top w:type="dxa" w:w="50"/>
              <w:left w:type="dxa" w:w="80"/>
              <w:bottom w:type="dxa" w:w="50"/>
              <w:right w:type="dxa" w:w="80"/>
            </w:tcMar>
          </w:tcPr>
          <w:p>
            <w:pPr>
              <w:spacing w:after="40"/>
            </w:pPr>
            <w:r>
              <w:rPr>
                <w:b/>
                <w:bCs/>
                <w:sz w:val="16"/>
                <w:szCs w:val="16"/>
              </w:rPr>
              <w:t xml:space="preserve">Verwendung in der Auswertung</w:t>
            </w:r>
          </w:p>
        </w:tc>
        <w:tc>
          <w:tcPr>
            <w:tcW w:type="dxa" w:w="1900"/>
            <w:tcBorders>
              <w:top w:val="single" w:color="999999" w:sz="4"/>
              <w:left w:val="single" w:color="999999" w:sz="4"/>
              <w:bottom w:val="single" w:color="999999" w:sz="4"/>
              <w:right w:val="single" w:color="999999" w:sz="4"/>
            </w:tcBorders>
            <w:shd w:fill="D9E2EC" w:color="auto" w:val="clear"/>
            <w:tcMar>
              <w:top w:type="dxa" w:w="50"/>
              <w:left w:type="dxa" w:w="80"/>
              <w:bottom w:type="dxa" w:w="50"/>
              <w:right w:type="dxa" w:w="80"/>
            </w:tcMar>
          </w:tcPr>
          <w:p>
            <w:pPr>
              <w:spacing w:after="40"/>
            </w:pPr>
            <w:r>
              <w:rPr>
                <w:b/>
                <w:bCs/>
                <w:sz w:val="16"/>
                <w:szCs w:val="16"/>
              </w:rPr>
              <w:t xml:space="preserve">Datenschutzrisiko</w:t>
            </w:r>
          </w:p>
        </w:tc>
        <w:tc>
          <w:tcPr>
            <w:tcW w:type="dxa" w:w="2300"/>
            <w:tcBorders>
              <w:top w:val="single" w:color="999999" w:sz="4"/>
              <w:left w:val="single" w:color="999999" w:sz="4"/>
              <w:bottom w:val="single" w:color="999999" w:sz="4"/>
              <w:right w:val="single" w:color="999999" w:sz="4"/>
            </w:tcBorders>
            <w:shd w:fill="D9E2EC" w:color="auto" w:val="clear"/>
            <w:tcMar>
              <w:top w:type="dxa" w:w="50"/>
              <w:left w:type="dxa" w:w="80"/>
              <w:bottom w:type="dxa" w:w="50"/>
              <w:right w:type="dxa" w:w="80"/>
            </w:tcMar>
          </w:tcPr>
          <w:p>
            <w:pPr>
              <w:spacing w:after="40"/>
            </w:pPr>
            <w:r>
              <w:rPr>
                <w:b/>
                <w:bCs/>
                <w:sz w:val="16"/>
                <w:szCs w:val="16"/>
              </w:rPr>
              <w:t xml:space="preserve">Limitation</w:t>
            </w:r>
          </w:p>
        </w:tc>
        <w:tc>
          <w:tcPr>
            <w:tcW w:type="dxa" w:w="1448"/>
            <w:tcBorders>
              <w:top w:val="single" w:color="999999" w:sz="4"/>
              <w:left w:val="single" w:color="999999" w:sz="4"/>
              <w:bottom w:val="single" w:color="999999" w:sz="4"/>
              <w:right w:val="single" w:color="999999" w:sz="4"/>
            </w:tcBorders>
            <w:shd w:fill="D9E2EC" w:color="auto" w:val="clear"/>
            <w:tcMar>
              <w:top w:type="dxa" w:w="50"/>
              <w:left w:type="dxa" w:w="80"/>
              <w:bottom w:type="dxa" w:w="50"/>
              <w:right w:type="dxa" w:w="80"/>
            </w:tcMar>
          </w:tcPr>
          <w:p>
            <w:pPr>
              <w:spacing w:after="40"/>
            </w:pPr>
            <w:r>
              <w:rPr>
                <w:b/>
                <w:bCs/>
                <w:sz w:val="16"/>
                <w:szCs w:val="16"/>
              </w:rPr>
              <w:t xml:space="preserve">Zeitpunkt / Position</w:t>
            </w:r>
          </w:p>
        </w:tc>
      </w:tr>
      <w:tr>
        <w:tc>
          <w:tcPr>
            <w:tcW w:type="dxa" w:w="15398"/>
            <w:gridSpan w:val="8"/>
            <w:tcBorders>
              <w:top w:val="single" w:color="999999" w:sz="4"/>
              <w:left w:val="single" w:color="999999" w:sz="4"/>
              <w:bottom w:val="single" w:color="999999" w:sz="4"/>
              <w:right w:val="single" w:color="999999" w:sz="4"/>
            </w:tcBorders>
            <w:shd w:fill="EEF2F5" w:color="auto" w:val="clear"/>
            <w:tcMar>
              <w:top w:type="dxa" w:w="50"/>
              <w:left w:type="dxa" w:w="80"/>
              <w:bottom w:type="dxa" w:w="50"/>
              <w:right w:type="dxa" w:w="80"/>
            </w:tcMar>
          </w:tcPr>
          <w:p>
            <w:pPr>
              <w:spacing w:after="40"/>
            </w:pPr>
            <w:r>
              <w:rPr>
                <w:sz w:val="18"/>
                <w:szCs w:val="18"/>
              </w:rPr>
              <w:t xml:space="preserve">A  Vorbefragung (nur t1, nach Einwilligung, vor Text 1). Keine Items zu Bias oder Behinderung.</w:t>
            </w:r>
          </w:p>
        </w:tc>
      </w:tr>
      <w:tr>
        <w:trPr>
          <w:cantSplit w:val="false"/>
        </w:trPr>
        <w:tc>
          <w:tcPr>
            <w:tcW w:type="dxa" w:w="26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V0</w:t>
            </w:r>
            <w:r>
              <w:rPr>
                <w:sz w:val="16"/>
                <w:szCs w:val="16"/>
              </w:rPr>
              <w:t xml:space="preserve"> Studiengang (BA Sonderpädagogik Lehramt / BA Rehabilitationspädagogik). </w:t>
            </w:r>
            <w:r>
              <w:rPr>
                <w:sz w:val="16"/>
                <w:szCs w:val="16"/>
              </w:rPr>
              <w:t xml:space="preserve">Kein Fragebogenitem</w:t>
            </w:r>
            <w:r>
              <w:rPr>
                <w:sz w:val="16"/>
                <w:szCs w:val="16"/>
              </w:rPr>
              <w:t xml:space="preserve">, sondern aus der Zuteilungsliste (Schicht der Blockrandomisierung).</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Zuordnung über Fallnummer</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Schichtungsvariable; Stichprobenbeschreibung</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Design (Leitdokument v0.1, nicht eingesehen)</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nur Gesamtzahl je Studiengang; keine Vergleiche (Setzung)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mittel</w:t>
            </w:r>
            <w:r>
              <w:rPr>
                <w:sz w:val="16"/>
                <w:szCs w:val="16"/>
              </w:rPr>
              <w:t xml:space="preserve">: Reha-Schicht mit 3–6 Personen je Kurs; zusammen mit Alter und Geschlecht identifizierend. Zuteilungsliste getrennt von den Daten aufbewahren.</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keine eigene Messung</w:t>
            </w:r>
          </w:p>
        </w:tc>
        <w:tc>
          <w:tcPr>
            <w:tcW w:type="dxa" w:w="14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vor t1 (Zuteilung)</w:t>
            </w:r>
          </w:p>
        </w:tc>
      </w:tr>
      <w:tr>
        <w:trPr>
          <w:cantSplit w:val="false"/>
        </w:trPr>
        <w:tc>
          <w:tcPr>
            <w:tcW w:type="dxa" w:w="26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V1</w:t>
            </w:r>
            <w:r>
              <w:rPr>
                <w:sz w:val="16"/>
                <w:szCs w:val="16"/>
              </w:rPr>
              <w:t xml:space="preserve"> „Wie alt bist du?“ (Entwurf)</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Einfachauswahl, freiwillig: unter 20 · 20–24 · 25 und älter · keine Angabe</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Stichprobenbeschreibung</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Eigenformulierung. Orientierung: Destatis, Demografische Standards (aktuell Ausgabe 2024 laut Destatis-Seite; Kategorienvorgaben ungeprüft)</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nur Häufigkeiten über alle Kurse; nicht je Kurs oder Studiengang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niedrig–mittel</w:t>
            </w:r>
            <w:r>
              <w:rPr>
                <w:sz w:val="16"/>
                <w:szCs w:val="16"/>
              </w:rPr>
              <w:t xml:space="preserve">: In kleinen Zellen ist „25 und älter“ identifizierend. Deshalb nur drei Kategorien; Zellen &lt; 5 nicht berichten [Empfehlung].</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nur deskriptiv; Kategorien nicht amtlich vergleichbar</w:t>
            </w:r>
          </w:p>
        </w:tc>
        <w:tc>
          <w:tcPr>
            <w:tcW w:type="dxa" w:w="14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t1, Vorbefragung, Pos. 1</w:t>
            </w:r>
          </w:p>
        </w:tc>
      </w:tr>
      <w:tr>
        <w:trPr>
          <w:cantSplit w:val="false"/>
        </w:trPr>
        <w:tc>
          <w:tcPr>
            <w:tcW w:type="dxa" w:w="26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V2</w:t>
            </w:r>
            <w:r>
              <w:rPr>
                <w:sz w:val="16"/>
                <w:szCs w:val="16"/>
              </w:rPr>
              <w:t xml:space="preserve"> „Welches Geschlecht hast du?“ (Entwurf; Alternative: „Geschlecht:“)</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Freitext + Ankreuzfeld „keine Angabe“, freiwillig (Entscheidung 09.10.)</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Stichprobenbeschreibung</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Eigenformulierung. Eine GESIS-Empfehlung zur offenen Abfrage habe ich nicht gefunden (nur Websuche, GESIS nicht direkt abrufbar): </w:t>
            </w:r>
            <w:r>
              <w:rPr>
                <w:sz w:val="16"/>
                <w:szCs w:val="16"/>
              </w:rPr>
              <w:t xml:space="preserve">ungeprüft</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Freitext nachträglich kategorisieren; nur Häufigkeiten; Kategorien &lt; 5 zusammenfassen oder nicht berichten</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mittel</w:t>
            </w:r>
            <w:r>
              <w:rPr>
                <w:sz w:val="16"/>
                <w:szCs w:val="16"/>
              </w:rPr>
              <w:t xml:space="preserve">: Seltene Freitextangaben sind bei n ≈ 60 identifizierend.</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keine analytische Funktion; Datensparsamkeit (Art. 5 Abs. 1 lit. c DSGVO) beachten</w:t>
            </w:r>
          </w:p>
        </w:tc>
        <w:tc>
          <w:tcPr>
            <w:tcW w:type="dxa" w:w="14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t1, Pos. 2</w:t>
            </w:r>
          </w:p>
        </w:tc>
      </w:tr>
      <w:tr>
        <w:trPr>
          <w:cantSplit w:val="false"/>
        </w:trPr>
        <w:tc>
          <w:tcPr>
            <w:tcW w:type="dxa" w:w="26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V3</w:t>
            </w:r>
            <w:r>
              <w:rPr>
                <w:sz w:val="16"/>
                <w:szCs w:val="16"/>
              </w:rPr>
              <w:t xml:space="preserve"> „Hast du vor deinem Studium schon pädagogisch, pflegerisch oder assistierend gearbeitet?“ (Entwurf)</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Mehrfachauswahl: nein · Ausbildung · FSJ/BFD · Neben- oder Ferienjob · Beruf · anderes · keine Angabe</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Vorwissen; Heterogenität</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Eigenformulierung, kein validiertes Item</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deskriptiv; Kontext für Interviewaussagen (qualitativ)</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niedrig</w:t>
            </w:r>
            <w:r>
              <w:rPr>
                <w:sz w:val="16"/>
                <w:szCs w:val="16"/>
              </w:rPr>
              <w:t xml:space="preserve">. Kein Freitext zum Einsatzort, weil er identifizieren und auf Behinderung verweisen kann.</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grobe Selbstauskunft. Beispiele wie „Schulbegleitung“ meiden, sonst wird vor den Texten Behinderung angesprochen.</w:t>
            </w:r>
          </w:p>
        </w:tc>
        <w:tc>
          <w:tcPr>
            <w:tcW w:type="dxa" w:w="14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t1, Pos. 3</w:t>
            </w:r>
          </w:p>
        </w:tc>
      </w:tr>
      <w:tr>
        <w:trPr>
          <w:cantSplit w:val="false"/>
        </w:trPr>
        <w:tc>
          <w:tcPr>
            <w:tcW w:type="dxa" w:w="26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V4</w:t>
            </w:r>
            <w:r>
              <w:rPr>
                <w:sz w:val="16"/>
                <w:szCs w:val="16"/>
              </w:rPr>
              <w:t xml:space="preserve"> „Wie häufig nutzt du generative KI (z. B. ChatGPT, Gemini, Claude) a) privat, b) im Studium bzw. in der Schule, c) im Job?“ (Entwurf)</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Matrix, je Kontext 5-stufig (nie … täglich) + „trifft nicht zu“. Bei Anlehnung an von Garrel &amp; Mayer: </w:t>
            </w:r>
            <w:r>
              <w:rPr>
                <w:sz w:val="16"/>
                <w:szCs w:val="16"/>
              </w:rPr>
              <w:t xml:space="preserve">Wortlaut und Skala aus Quelle übernehmen</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Nutzungserfahrung als Kontext der Reliance</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von Garrel &amp; Mayer 2023 ✓ (Itemwortlaut nicht geprüft); Zhou et al. 2025, NAACL ✓ (Befund „frühere Interaktionen prägen Reliance“ ungeprüft); LENS-AI-Teilstudie (Korpus M144, nicht eingesehen)</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deskriptiv; Interviewaussagen qualitativ einordnen; keine Subgruppentests</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niedrig</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Häufigkeitsangaben sind ungenau. Bei Erstsemestern bedeutet „Studium“ bisher vor allem Schule.</w:t>
            </w:r>
          </w:p>
        </w:tc>
        <w:tc>
          <w:tcPr>
            <w:tcW w:type="dxa" w:w="14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t1, Pos. 4</w:t>
            </w:r>
          </w:p>
        </w:tc>
      </w:tr>
      <w:tr>
        <w:trPr>
          <w:cantSplit w:val="false"/>
        </w:trPr>
        <w:tc>
          <w:tcPr>
            <w:tcW w:type="dxa" w:w="26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V5</w:t>
            </w:r>
            <w:r>
              <w:rPr>
                <w:sz w:val="16"/>
                <w:szCs w:val="16"/>
              </w:rPr>
              <w:t xml:space="preserve"> „Welche KI-Werkzeuge hast du schon genutzt?“ (Entwurf)</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Mehrfachauswahl (Liste) + „andere“ (kurzer Freitext)</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Werkzeugvertrautheit, v. a. mit dem eingesetzten Modell</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wie V4</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deskriptiv; Vertrautheit mit dem Modell in reason8</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niedrig</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Liste veraltet schnell; Stand der Liste je Termin dokumentieren</w:t>
            </w:r>
          </w:p>
        </w:tc>
        <w:tc>
          <w:tcPr>
            <w:tcW w:type="dxa" w:w="14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t1, Pos. 5</w:t>
            </w:r>
          </w:p>
        </w:tc>
      </w:tr>
      <w:tr>
        <w:trPr>
          <w:cantSplit w:val="false"/>
        </w:trPr>
        <w:tc>
          <w:tcPr>
            <w:tcW w:type="dxa" w:w="26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V6</w:t>
            </w:r>
            <w:r>
              <w:rPr>
                <w:sz w:val="16"/>
                <w:szCs w:val="16"/>
              </w:rPr>
              <w:t xml:space="preserve"> „Wofür nutzt du generative KI?“, mit Option „Bilder beschreiben lassen“ (Entwurf)</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Mehrfachauswahl + „anderes“</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Nutzungszwecke; Vorerfahrung mit der Zielaufgabe</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von Garrel &amp; Mayer 2023 ✓ (Zweckkategorien: </w:t>
            </w:r>
            <w:r>
              <w:rPr>
                <w:sz w:val="16"/>
                <w:szCs w:val="16"/>
              </w:rPr>
              <w:t xml:space="preserve">Wortlaut aus Quelle übernehmen</w:t>
            </w:r>
            <w:r>
              <w:rPr>
                <w:sz w:val="16"/>
                <w:szCs w:val="16"/>
              </w:rPr>
              <w:t xml:space="preserve">)</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deskriptiv: Anteil mit Vorerfahrung „Bildbeschreibung“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niedrig</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Die Option verrät nichts Zusätzliches, weil die Aufgabe ohnehin folgt [Interpretation].</w:t>
            </w:r>
          </w:p>
        </w:tc>
        <w:tc>
          <w:tcPr>
            <w:tcW w:type="dxa" w:w="14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t1, Pos. 6</w:t>
            </w:r>
          </w:p>
        </w:tc>
      </w:tr>
      <w:tr>
        <w:trPr>
          <w:cantSplit w:val="false"/>
        </w:trPr>
        <w:tc>
          <w:tcPr>
            <w:tcW w:type="dxa" w:w="26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V7</w:t>
            </w:r>
            <w:r>
              <w:rPr>
                <w:sz w:val="16"/>
                <w:szCs w:val="16"/>
              </w:rPr>
              <w:t xml:space="preserve"> „Hast du vor heute schon einmal Bildbeschreibungen für Webseiten, Dokumente oder soziale Medien verfasst?“ (Entwurf)</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ja · nein · weiß nicht</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Aufgabenvertrautheit (ohne Verweis auf Zugänglichkeit)</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Mack, Cutrell, Lee &amp; Morris 2021, ASSETS ✓. Trägt nur die Begründung, dass Alt-Text-Verfassen eine eigene Kompetenz ist (Befund am Volltext ungeprüft).</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deskriptiv</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niedrig</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kein validiertes Item. Den Begriff „Alt-Text“ bewusst meiden (s. N2.1/N2.2).</w:t>
            </w:r>
          </w:p>
        </w:tc>
        <w:tc>
          <w:tcPr>
            <w:tcW w:type="dxa" w:w="14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t1, Pos. 7</w:t>
            </w:r>
          </w:p>
        </w:tc>
      </w:tr>
      <w:tr>
        <w:trPr>
          <w:cantSplit w:val="false"/>
        </w:trPr>
        <w:tc>
          <w:tcPr>
            <w:tcW w:type="dxa" w:w="26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V8 (optional)</w:t>
            </w:r>
            <w:r>
              <w:rPr>
                <w:sz w:val="16"/>
                <w:szCs w:val="16"/>
              </w:rPr>
              <w:t xml:space="preserve"> KI-Vertrauen: Körber, Fragebogen „Vertrauen in Automation“ (TiA), deutsche Fassung, Bezugsobjekt auf „KI-Chatbots“ angepasst. </w:t>
            </w:r>
            <w:r>
              <w:rPr>
                <w:sz w:val="16"/>
                <w:szCs w:val="16"/>
              </w:rPr>
              <w:t xml:space="preserve">Wortlaut aus Quelle übernehmen.</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Likert laut Quelle</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Vertrauen in Automation als Disposition zur Übernahme</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Körber 2019 (online 2018) ✓. Deutsche Fassung laut Websuche im Repositorium des Autors (GitHub) und im Anhang des Kapitels, </w:t>
            </w:r>
            <w:r>
              <w:rPr>
                <w:sz w:val="16"/>
                <w:szCs w:val="16"/>
              </w:rPr>
              <w:t xml:space="preserve">nicht eingesehen</w:t>
            </w:r>
            <w:r>
              <w:rPr>
                <w:sz w:val="16"/>
                <w:szCs w:val="16"/>
              </w:rPr>
              <w:t xml:space="preserve">. Jian, Bisantz &amp; Drury 2000 ✓: keine deutsche Fassung in ZIS gefunden (nur Websuche).</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höchstens deskriptiv auf Itemebene, wegen der Setzung „kein Score auf Personenebene“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niedrig</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Durch die Anpassung auf GKI geht die geprüfte Validität verloren. Ein Skalenmittelwert ist ein Personenscore. Zeitkosten. Die Abfrage kann selbst die Wachsamkeit erhöhen [Annahme, unbelegt].</w:t>
            </w:r>
          </w:p>
        </w:tc>
        <w:tc>
          <w:tcPr>
            <w:tcW w:type="dxa" w:w="14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t1, Pos. 8. </w:t>
            </w:r>
            <w:r>
              <w:rPr>
                <w:sz w:val="16"/>
                <w:szCs w:val="16"/>
              </w:rPr>
              <w:t xml:space="preserve">[Empfehlung] weglassen</w:t>
            </w:r>
          </w:p>
        </w:tc>
      </w:tr>
      <w:tr>
        <w:trPr>
          <w:cantSplit w:val="false"/>
        </w:trPr>
        <w:tc>
          <w:tcPr>
            <w:tcW w:type="dxa" w:w="26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V9 (optional)</w:t>
            </w:r>
            <w:r>
              <w:rPr>
                <w:sz w:val="16"/>
                <w:szCs w:val="16"/>
              </w:rPr>
              <w:t xml:space="preserve"> KI-Literacy: MAILS-Kurzform (10 Items, deutsch) </w:t>
            </w:r>
            <w:r>
              <w:rPr>
                <w:sz w:val="16"/>
                <w:szCs w:val="16"/>
              </w:rPr>
              <w:t xml:space="preserve">oder</w:t>
            </w:r>
            <w:r>
              <w:rPr>
                <w:sz w:val="16"/>
                <w:szCs w:val="16"/>
              </w:rPr>
              <w:t xml:space="preserve"> AILIT-S (Wissenstest). </w:t>
            </w:r>
            <w:r>
              <w:rPr>
                <w:sz w:val="16"/>
                <w:szCs w:val="16"/>
              </w:rPr>
              <w:t xml:space="preserve">Wortlaut aus Quelle übernehmen.</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MAILS: Selbsteinschätzung (Skala laut Websuche 0–10, ungeprüft); AILIT-S: Format laut Quelle</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KI-Kompetenz (selbst eingeschätzt bzw. getestet)</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Carolus et al. 2023 ✓; Kurzform: Koch, Carolus, Wienrich &amp; Latoschik 2024, Heliyon ✓ (deutsche PDF laut Websuche bei der Uni Würzburg); SNAIL: Laupichler et al. 2023 ✓ (deutsche Adaption nur als Kursevaluationsinstrument: Laupichler et al. 2023, Educ. Sci. ✓); Hornberger et al. 2023 ✓; AILIT-S 2025 ✓ (Testsprache ungeprüft)</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nur deskriptiv</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niedrig–mittel</w:t>
            </w:r>
            <w:r>
              <w:rPr>
                <w:sz w:val="16"/>
                <w:szCs w:val="16"/>
              </w:rPr>
              <w:t xml:space="preserve">: Ein Testergebnis, das die Lehrperson erhebt, ist ein Leistungsdatum (Machtgefälle).</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Selbstauskunft ist kein Kompetenzmaß. Keine Funktion für EI A oder B. Score-Konflikt; Zeitkosten.</w:t>
            </w:r>
          </w:p>
        </w:tc>
        <w:tc>
          <w:tcPr>
            <w:tcW w:type="dxa" w:w="14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t1, Pos. 9. </w:t>
            </w:r>
            <w:r>
              <w:rPr>
                <w:sz w:val="16"/>
                <w:szCs w:val="16"/>
              </w:rPr>
              <w:t xml:space="preserve">[Empfehlung] weglassen</w:t>
            </w:r>
          </w:p>
        </w:tc>
      </w:tr>
      <w:tr>
        <w:trPr>
          <w:cantSplit w:val="false"/>
        </w:trPr>
        <w:tc>
          <w:tcPr>
            <w:tcW w:type="dxa" w:w="26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Nicht aufnehmen:</w:t>
            </w:r>
            <w:r>
              <w:rPr>
                <w:sz w:val="16"/>
                <w:szCs w:val="16"/>
              </w:rPr>
              <w:t xml:space="preserve"> TAM/UTAUT</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Akzeptanz ist nicht Erkenntnisinteresse</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w:t>
            </w:r>
          </w:p>
        </w:tc>
        <w:tc>
          <w:tcPr>
            <w:tcW w:type="dxa" w:w="14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w:t>
            </w:r>
          </w:p>
        </w:tc>
      </w:tr>
      <w:tr>
        <w:tc>
          <w:tcPr>
            <w:tcW w:type="dxa" w:w="15398"/>
            <w:gridSpan w:val="8"/>
            <w:tcBorders>
              <w:top w:val="single" w:color="999999" w:sz="4"/>
              <w:left w:val="single" w:color="999999" w:sz="4"/>
              <w:bottom w:val="single" w:color="999999" w:sz="4"/>
              <w:right w:val="single" w:color="999999" w:sz="4"/>
            </w:tcBorders>
            <w:shd w:fill="EEF2F5" w:color="auto" w:val="clear"/>
            <w:tcMar>
              <w:top w:type="dxa" w:w="50"/>
              <w:left w:type="dxa" w:w="80"/>
              <w:bottom w:type="dxa" w:w="50"/>
              <w:right w:type="dxa" w:w="80"/>
            </w:tcMar>
          </w:tcPr>
          <w:p>
            <w:pPr>
              <w:spacing w:after="40"/>
            </w:pPr>
            <w:r>
              <w:rPr>
                <w:sz w:val="18"/>
                <w:szCs w:val="18"/>
              </w:rPr>
              <w:t xml:space="preserve">B  Text ohne KI (t1 und t2)</w:t>
            </w:r>
          </w:p>
        </w:tc>
      </w:tr>
      <w:tr>
        <w:trPr>
          <w:cantSplit w:val="false"/>
        </w:trPr>
        <w:tc>
          <w:tcPr>
            <w:tcW w:type="dxa" w:w="26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T1.1</w:t>
            </w:r>
            <w:r>
              <w:rPr>
                <w:sz w:val="16"/>
                <w:szCs w:val="16"/>
              </w:rPr>
              <w:t xml:space="preserve"> Aufgabe: Bildbeschreibung zu Bild 1 ohne KI. Instruktion: </w:t>
            </w:r>
            <w:r>
              <w:rPr>
                <w:sz w:val="16"/>
                <w:szCs w:val="16"/>
              </w:rPr>
              <w:t xml:space="preserve">Wortlaut aus Leitdokument</w:t>
            </w:r>
            <w:r>
              <w:rPr>
                <w:sz w:val="16"/>
                <w:szCs w:val="16"/>
              </w:rPr>
              <w:t xml:space="preserve"> (nicht eingesehen).</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Freitext, gesperrte Abgabe</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Bildbeschreibung ohne KI-Unterstützung (Vergleichsbasis EI B)</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Design v0.1. Kodierrahmen: Aktion-Mensch-Regeln 2025, A–H (Projektquelle, nicht geprüft); Mack et al. 2024, CHI ✓; Gadiraju et al. 2023, FAccT ✓</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Kodierung der Repräsentationsmuster, Kernindikator „Zuschreibung ohne Bildbeleg“; deskriptiver Vergleich mit T2.1</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niedrig</w:t>
            </w:r>
            <w:r>
              <w:rPr>
                <w:sz w:val="16"/>
                <w:szCs w:val="16"/>
              </w:rPr>
              <w:t xml:space="preserve"> (Text über ein Bild). In der Instruktion: keine persönlichen Angaben.</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Bild und Bedingung sind nur auf Gruppenebene über die Rotation ausbalanciert; kein Kausalvergleich</w:t>
            </w:r>
          </w:p>
        </w:tc>
        <w:tc>
          <w:tcPr>
            <w:tcW w:type="dxa" w:w="14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t1/t2, erste Aufgabe</w:t>
            </w:r>
          </w:p>
        </w:tc>
      </w:tr>
      <w:tr>
        <w:trPr>
          <w:cantSplit w:val="false"/>
        </w:trPr>
        <w:tc>
          <w:tcPr>
            <w:tcW w:type="dxa" w:w="26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T1.2</w:t>
            </w:r>
            <w:r>
              <w:rPr>
                <w:sz w:val="16"/>
                <w:szCs w:val="16"/>
              </w:rPr>
              <w:t xml:space="preserve"> Prozessdaten Text 1: Einfüge-Events</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automatisch (reason8-Export)</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Bedingungstreue („ohne KI“)</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Texte mit externem Einfügen markieren bzw. ausschließen (Regel vorab festlegen)</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niedrig</w:t>
            </w:r>
            <w:r>
              <w:rPr>
                <w:sz w:val="16"/>
                <w:szCs w:val="16"/>
              </w:rPr>
              <w:t xml:space="preserve"> (pseudonyme Verhaltensdaten)</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Abtippen aus einer externen KI bleibt unsichtbar</w:t>
            </w:r>
          </w:p>
        </w:tc>
        <w:tc>
          <w:tcPr>
            <w:tcW w:type="dxa" w:w="14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t1/t2, während T1.1</w:t>
            </w:r>
          </w:p>
        </w:tc>
      </w:tr>
      <w:tr>
        <w:trPr>
          <w:cantSplit w:val="false"/>
        </w:trPr>
        <w:tc>
          <w:tcPr>
            <w:tcW w:type="dxa" w:w="26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T1.3</w:t>
            </w:r>
            <w:r>
              <w:rPr>
                <w:sz w:val="16"/>
                <w:szCs w:val="16"/>
              </w:rPr>
              <w:t xml:space="preserve"> Konfidenz Text 1: „Wie sicher bist du, dass deine Bildbeschreibung das Bild angemessen wiedergibt?“ (Entwurf)</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1–7 (1 = gar nicht sicher, 7 = sehr sicher)</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Konfidenz (Selbsteinschätzung). </w:t>
            </w:r>
            <w:r>
              <w:rPr>
                <w:sz w:val="16"/>
                <w:szCs w:val="16"/>
              </w:rPr>
              <w:t xml:space="preserve">Nicht</w:t>
            </w:r>
            <w:r>
              <w:rPr>
                <w:sz w:val="16"/>
                <w:szCs w:val="16"/>
              </w:rPr>
              <w:t xml:space="preserve"> „Kalibrierung“: Es gibt kein Genauigkeitskriterium.</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Ren 2026 ✓ (Konfidenz bei Aufgaben mit richtig/falsch); Double &amp; Birney 2019 ✓ (Reaktivität)</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deskriptiver Vergleich mit Konfidenz Text 2 auf Gruppenebene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niedrig</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Ein-Item-Maß. Die Abfrage ist reaktiv und kann Text 2 beeinflussen; Richtung nicht vorhersagbar.</w:t>
            </w:r>
          </w:p>
        </w:tc>
        <w:tc>
          <w:tcPr>
            <w:tcW w:type="dxa" w:w="14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Plan: direkt nach T1.1. </w:t>
            </w:r>
            <w:r>
              <w:rPr>
                <w:sz w:val="16"/>
                <w:szCs w:val="16"/>
              </w:rPr>
              <w:t xml:space="preserve">[Empfehlung]</w:t>
            </w:r>
            <w:r>
              <w:rPr>
                <w:sz w:val="16"/>
                <w:szCs w:val="16"/>
              </w:rPr>
              <w:t xml:space="preserve"> nach N1 verschieben (Teil 2)</w:t>
            </w:r>
          </w:p>
        </w:tc>
      </w:tr>
      <w:tr>
        <w:tc>
          <w:tcPr>
            <w:tcW w:type="dxa" w:w="15398"/>
            <w:gridSpan w:val="8"/>
            <w:tcBorders>
              <w:top w:val="single" w:color="999999" w:sz="4"/>
              <w:left w:val="single" w:color="999999" w:sz="4"/>
              <w:bottom w:val="single" w:color="999999" w:sz="4"/>
              <w:right w:val="single" w:color="999999" w:sz="4"/>
            </w:tcBorders>
            <w:shd w:fill="EEF2F5" w:color="auto" w:val="clear"/>
            <w:tcMar>
              <w:top w:type="dxa" w:w="50"/>
              <w:left w:type="dxa" w:w="80"/>
              <w:bottom w:type="dxa" w:w="50"/>
              <w:right w:type="dxa" w:w="80"/>
            </w:tcMar>
          </w:tcPr>
          <w:p>
            <w:pPr>
              <w:spacing w:after="40"/>
            </w:pPr>
            <w:r>
              <w:rPr>
                <w:sz w:val="18"/>
                <w:szCs w:val="18"/>
              </w:rPr>
              <w:t xml:space="preserve">C  Text mit KI (t1 und t2)</w:t>
            </w:r>
          </w:p>
        </w:tc>
      </w:tr>
      <w:tr>
        <w:trPr>
          <w:cantSplit w:val="false"/>
        </w:trPr>
        <w:tc>
          <w:tcPr>
            <w:tcW w:type="dxa" w:w="26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T2.1</w:t>
            </w:r>
            <w:r>
              <w:rPr>
                <w:sz w:val="16"/>
                <w:szCs w:val="16"/>
              </w:rPr>
              <w:t xml:space="preserve"> Aufgabe: Bildbeschreibung zu Bild 2 mit KI-Chat und Bild-Upload; Endfassung. Instruktion: </w:t>
            </w:r>
            <w:r>
              <w:rPr>
                <w:sz w:val="16"/>
                <w:szCs w:val="16"/>
              </w:rPr>
              <w:t xml:space="preserve">Wortlaut aus Leitdokument</w:t>
            </w:r>
            <w:r>
              <w:rPr>
                <w:sz w:val="16"/>
                <w:szCs w:val="16"/>
              </w:rPr>
              <w:t xml:space="preserve">.</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Chat + Freitext, gesperrte Abgabe</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Umgang mit der KI-Ausgabe: übernehmen, verändern, streichen, neu einführen (EI A)</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wie T1.1; Sivaraman et al. 2023 ✓ (Kategorie „negotiation“, klinischer Kontext)</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Vergleich Rohausgabe ↔ Endfassung (kodierter Einfluss); Kodierung der Muster</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niedrig</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Übungs- und Ermüdungseffekte mit der Bedingung konfundiert; Priming ab Bild 2</w:t>
            </w:r>
          </w:p>
        </w:tc>
        <w:tc>
          <w:tcPr>
            <w:tcW w:type="dxa" w:w="14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t1/t2, nach T1</w:t>
            </w:r>
          </w:p>
        </w:tc>
      </w:tr>
      <w:tr>
        <w:trPr>
          <w:cantSplit w:val="false"/>
        </w:trPr>
        <w:tc>
          <w:tcPr>
            <w:tcW w:type="dxa" w:w="26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T2.2</w:t>
            </w:r>
            <w:r>
              <w:rPr>
                <w:sz w:val="16"/>
                <w:szCs w:val="16"/>
              </w:rPr>
              <w:t xml:space="preserve"> Prompts (Eingaben in den KI-Chat)</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automatisch</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Interaktionsstrategie; Prozess der Reliance</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Zhou et al. 2025 ✓ (interaktionszentrierte Reliance-Messung; Übertragbarkeit ungeprüft)</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Prozessbeschreibung; Triangulation mit dem Interview</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mittel</w:t>
            </w:r>
            <w:r>
              <w:rPr>
                <w:sz w:val="16"/>
                <w:szCs w:val="16"/>
              </w:rPr>
              <w:t xml:space="preserve">: Studierende können persönliche Angaben eintippen. Die Eingaben gehen an den Modellanbieter; ob reason8 einen Auftragsverarbeitungsvertrag hat, ist ungeprüft.</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Die Setzung „keine personenbezogenen Daten in KI-Eingaben“ lässt sich nur per Instruktion durchsetzen.</w:t>
            </w:r>
          </w:p>
        </w:tc>
        <w:tc>
          <w:tcPr>
            <w:tcW w:type="dxa" w:w="14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während T2.1</w:t>
            </w:r>
          </w:p>
        </w:tc>
      </w:tr>
      <w:tr>
        <w:trPr>
          <w:cantSplit w:val="false"/>
        </w:trPr>
        <w:tc>
          <w:tcPr>
            <w:tcW w:type="dxa" w:w="26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T2.3</w:t>
            </w:r>
            <w:r>
              <w:rPr>
                <w:sz w:val="16"/>
                <w:szCs w:val="16"/>
              </w:rPr>
              <w:t xml:space="preserve"> Bild-Upload (Zielbild A–D)</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Datei</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 (Stimulus)</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keine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niedrig bis hoch, je nach Bild</w:t>
            </w:r>
            <w:r>
              <w:rPr>
                <w:sz w:val="16"/>
                <w:szCs w:val="16"/>
              </w:rPr>
              <w:t xml:space="preserve">: Zeigt ein Bild identifizierbare reale Personen, gehen deren Daten an den Modellanbieter, bei sichtbarer Behinderung ggf. als Gesundheitsdaten (Art. 9 DSGVO). Bildrechte klären.</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Die Bilder A–D unterscheiden sich als Stimuli</w:t>
            </w:r>
          </w:p>
        </w:tc>
        <w:tc>
          <w:tcPr>
            <w:tcW w:type="dxa" w:w="14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während T2.1</w:t>
            </w:r>
          </w:p>
        </w:tc>
      </w:tr>
      <w:tr>
        <w:trPr>
          <w:cantSplit w:val="false"/>
        </w:trPr>
        <w:tc>
          <w:tcPr>
            <w:tcW w:type="dxa" w:w="26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T2.4</w:t>
            </w:r>
            <w:r>
              <w:rPr>
                <w:sz w:val="16"/>
                <w:szCs w:val="16"/>
              </w:rPr>
              <w:t xml:space="preserve"> KI-Rohausgaben</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automatisch</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Repräsentationsmuster in GKI-Ausgaben (EI A)</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Kodierrahmen wie T1.1</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Kodierung; Referenz für den kodierten Einfluss</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niedrig</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nichtdeterministisch; Modellversion je Termin dokumentieren</w:t>
            </w:r>
          </w:p>
        </w:tc>
        <w:tc>
          <w:tcPr>
            <w:tcW w:type="dxa" w:w="14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während T2.1</w:t>
            </w:r>
          </w:p>
        </w:tc>
      </w:tr>
      <w:tr>
        <w:trPr>
          <w:cantSplit w:val="false"/>
        </w:trPr>
        <w:tc>
          <w:tcPr>
            <w:tcW w:type="dxa" w:w="26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T2.5</w:t>
            </w:r>
            <w:r>
              <w:rPr>
                <w:sz w:val="16"/>
                <w:szCs w:val="16"/>
              </w:rPr>
              <w:t xml:space="preserve"> Kopier-/Einfüge-Events</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automatisch</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Verhaltensindikator der Übernahme</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Zhou et al. 2025 ✓ (Übertragbarkeit ungeprüft)</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Teil der Operationalisierung „kodierter Einfluss“ (wörtliche Übernahme)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niedrig</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erfasst wörtliche, nicht sinngemäße Übernahme</w:t>
            </w:r>
          </w:p>
        </w:tc>
        <w:tc>
          <w:tcPr>
            <w:tcW w:type="dxa" w:w="14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während T2.1</w:t>
            </w:r>
          </w:p>
        </w:tc>
      </w:tr>
      <w:tr>
        <w:tc>
          <w:tcPr>
            <w:tcW w:type="dxa" w:w="15398"/>
            <w:gridSpan w:val="8"/>
            <w:tcBorders>
              <w:top w:val="single" w:color="999999" w:sz="4"/>
              <w:left w:val="single" w:color="999999" w:sz="4"/>
              <w:bottom w:val="single" w:color="999999" w:sz="4"/>
              <w:right w:val="single" w:color="999999" w:sz="4"/>
            </w:tcBorders>
            <w:shd w:fill="EEF2F5" w:color="auto" w:val="clear"/>
            <w:tcMar>
              <w:top w:type="dxa" w:w="50"/>
              <w:left w:type="dxa" w:w="80"/>
              <w:bottom w:type="dxa" w:w="50"/>
              <w:right w:type="dxa" w:w="80"/>
            </w:tcMar>
          </w:tcPr>
          <w:p>
            <w:pPr>
              <w:spacing w:after="40"/>
            </w:pPr>
            <w:r>
              <w:rPr>
                <w:sz w:val="18"/>
                <w:szCs w:val="18"/>
              </w:rPr>
              <w:t xml:space="preserve">D  Nachbefragung I (t1 und t2, nach Abgabe von Text 2, vor dem Reflexionsinterview)</w:t>
            </w:r>
          </w:p>
        </w:tc>
      </w:tr>
      <w:tr>
        <w:trPr>
          <w:cantSplit w:val="false"/>
        </w:trPr>
        <w:tc>
          <w:tcPr>
            <w:tcW w:type="dxa" w:w="26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N1.1</w:t>
            </w:r>
            <w:r>
              <w:rPr>
                <w:sz w:val="16"/>
                <w:szCs w:val="16"/>
              </w:rPr>
              <w:t xml:space="preserve"> Konfidenz Text 2 (Wortlaut wie T1.3, bezogen auf den zweiten Text)</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1–7</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Konfidenz (Selbsteinschätzung)</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Ren 2026 ✓: Offene ChatGPT-Unterstützung erhöhte die Konfidenz [Befund, Abstract]</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deskriptiver Vergleich mit T1.3 auf Gruppenebene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niedrig</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wie T1.3</w:t>
            </w:r>
          </w:p>
        </w:tc>
        <w:tc>
          <w:tcPr>
            <w:tcW w:type="dxa" w:w="14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nach Abgabe, vor dem Interview</w:t>
            </w:r>
          </w:p>
        </w:tc>
      </w:tr>
      <w:tr>
        <w:trPr>
          <w:cantSplit w:val="false"/>
        </w:trPr>
        <w:tc>
          <w:tcPr>
            <w:tcW w:type="dxa" w:w="26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N1.2</w:t>
            </w:r>
            <w:r>
              <w:rPr>
                <w:sz w:val="16"/>
                <w:szCs w:val="16"/>
              </w:rPr>
              <w:t xml:space="preserve"> „Was schätzt du: Wie viel deiner abgegebenen Bildbeschreibung stammt aus der KI-Ausgabe? a) wörtlich, b) inhaltlich (sinngemäß)“ (Entwurf)</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je Schieberegler 0–100 %</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wahrgenommener KI-Einfluss</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Williams-Ceci et al. 2024, Preprint ✓: Die Mehrheit bemerkte den Einfluss nicht [Befund, Abstract]. Jakesch et al. 2023 ✓: Einfluss auf Text und Einstellung [Befund, Abstract; Wahrnehmung des Einflusses ungeprüft]. Ren 2026 ✓ (Attributionsbias)</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je Text Vergleich wahrgenommen ↔ kodiert (a mit wörtlicher, b mit inhaltlicher Übernahme); nur aggregiert berichtet (Verteilung der Differenzen)</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niedrig</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Ein-Item-Schätzung. Der kodierte Einfluss ist selbst eine Operationalisierung und muss vor t1 parallel zu a und b definiert sein.</w:t>
            </w:r>
          </w:p>
        </w:tc>
        <w:tc>
          <w:tcPr>
            <w:tcW w:type="dxa" w:w="14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nach N1.1, vor dem Interview</w:t>
            </w:r>
          </w:p>
        </w:tc>
      </w:tr>
      <w:tr>
        <w:trPr>
          <w:cantSplit w:val="false"/>
        </w:trPr>
        <w:tc>
          <w:tcPr>
            <w:tcW w:type="dxa" w:w="26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N1.3 (bei Verschiebung)</w:t>
            </w:r>
            <w:r>
              <w:rPr>
                <w:sz w:val="16"/>
                <w:szCs w:val="16"/>
              </w:rPr>
              <w:t xml:space="preserve"> Konfidenz Text 1 rückblickend (Wortlaut wie T1.3, bezogen auf den ersten Text)</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1–7</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Konfidenz</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Double &amp; Birney 2019 ✓</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wie T1.3</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niedrig</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rückblickend. Nach dem Kontakt mit der KI-Ausgabe sind Kontrasteffekte möglich [Annahme].</w:t>
            </w:r>
          </w:p>
        </w:tc>
        <w:tc>
          <w:tcPr>
            <w:tcW w:type="dxa" w:w="14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vor N1.1</w:t>
            </w:r>
          </w:p>
        </w:tc>
      </w:tr>
      <w:tr>
        <w:tc>
          <w:tcPr>
            <w:tcW w:type="dxa" w:w="15398"/>
            <w:gridSpan w:val="8"/>
            <w:tcBorders>
              <w:top w:val="single" w:color="999999" w:sz="4"/>
              <w:left w:val="single" w:color="999999" w:sz="4"/>
              <w:bottom w:val="single" w:color="999999" w:sz="4"/>
              <w:right w:val="single" w:color="999999" w:sz="4"/>
            </w:tcBorders>
            <w:shd w:fill="EEF2F5" w:color="auto" w:val="clear"/>
            <w:tcMar>
              <w:top w:type="dxa" w:w="50"/>
              <w:left w:type="dxa" w:w="80"/>
              <w:bottom w:type="dxa" w:w="50"/>
              <w:right w:type="dxa" w:w="80"/>
            </w:tcMar>
          </w:tcPr>
          <w:p>
            <w:pPr>
              <w:spacing w:after="40"/>
            </w:pPr>
            <w:r>
              <w:rPr>
                <w:sz w:val="18"/>
                <w:szCs w:val="18"/>
              </w:rPr>
              <w:t xml:space="preserve">E  Reflexionsinterview (t1 und t2; KI-Interviewer in reason8; Leitfaden in Teil 3)</w:t>
            </w:r>
          </w:p>
        </w:tc>
      </w:tr>
      <w:tr>
        <w:trPr>
          <w:cantSplit w:val="false"/>
        </w:trPr>
        <w:tc>
          <w:tcPr>
            <w:tcW w:type="dxa" w:w="26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R1</w:t>
            </w:r>
            <w:r>
              <w:rPr>
                <w:sz w:val="16"/>
                <w:szCs w:val="16"/>
              </w:rPr>
              <w:t xml:space="preserve"> „Erzähl bitte, wie du beim ersten Text, also ohne KI, vorgegangen bist. Was war dabei schwierig?“</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offene Antwort im Chat; höchstens 1 adaptive Nachfrage</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eigene Beschreibungsstrategie (Ausgangslage)</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Helfferich 2011 ✓ (offener Einstieg; Seiten ungeprüft)</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qualitative Inhaltsanalyse; Kontrast zu R2</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mittel</w:t>
            </w:r>
            <w:r>
              <w:rPr>
                <w:sz w:val="16"/>
                <w:szCs w:val="16"/>
              </w:rPr>
              <w:t xml:space="preserve">: Freitext geht an den Modellanbieter; spontane Angaben zu Art.-9-Daten möglich</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retrospektiv (Russo et al. 1989 ✓); soziale Erwünschtheit, weil der Dozent mitliest</w:t>
            </w:r>
          </w:p>
        </w:tc>
        <w:tc>
          <w:tcPr>
            <w:tcW w:type="dxa" w:w="14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Interview, Frage 1</w:t>
            </w:r>
          </w:p>
        </w:tc>
      </w:tr>
      <w:tr>
        <w:trPr>
          <w:cantSplit w:val="false"/>
        </w:trPr>
        <w:tc>
          <w:tcPr>
            <w:tcW w:type="dxa" w:w="26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R2</w:t>
            </w:r>
            <w:r>
              <w:rPr>
                <w:sz w:val="16"/>
                <w:szCs w:val="16"/>
              </w:rPr>
              <w:t xml:space="preserve"> „Wie bist du dann mit der Ausgabe der KI umgegangen? Was hast du übernommen, verändert, gestrichen oder selbst ergänzt, und warum?“</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wie R1</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Reliance/negotiation; die vier Operationen aus EI A</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Sivaraman et al. 2023 ✓; Shen et al. 2021 ✓; DeVos et al. 2022 ✓</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Abgleich mit dem kodierten Einfluss und den Einfüge-Events</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mittel</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Begründungen werden nachträglich konstruiert; deshalb mit Prozessdaten triangulieren</w:t>
            </w:r>
          </w:p>
        </w:tc>
        <w:tc>
          <w:tcPr>
            <w:tcW w:type="dxa" w:w="14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Frage 2</w:t>
            </w:r>
          </w:p>
        </w:tc>
      </w:tr>
      <w:tr>
        <w:trPr>
          <w:cantSplit w:val="false"/>
        </w:trPr>
        <w:tc>
          <w:tcPr>
            <w:tcW w:type="dxa" w:w="26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R3</w:t>
            </w:r>
            <w:r>
              <w:rPr>
                <w:sz w:val="16"/>
                <w:szCs w:val="16"/>
              </w:rPr>
              <w:t xml:space="preserve"> „Ist dir an der KI-Ausgabe etwas aufgefallen, das du so nicht schreiben wolltest?“</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wie R1</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Bemerken problematischer Ausgaben (ungestützt)</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Shen et al. 2021 ✓; DeVos et al. 2022 ✓</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Abgleich: im Interview benannt ↔ in der Rohausgabe kodiert</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mittel</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Nichtnennen heißt nicht Nichtbemerken</w:t>
            </w:r>
          </w:p>
        </w:tc>
        <w:tc>
          <w:tcPr>
            <w:tcW w:type="dxa" w:w="14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Frage 3</w:t>
            </w:r>
          </w:p>
        </w:tc>
      </w:tr>
      <w:tr>
        <w:trPr>
          <w:cantSplit w:val="false"/>
        </w:trPr>
        <w:tc>
          <w:tcPr>
            <w:tcW w:type="dxa" w:w="26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R4</w:t>
            </w:r>
            <w:r>
              <w:rPr>
                <w:sz w:val="16"/>
                <w:szCs w:val="16"/>
              </w:rPr>
              <w:t xml:space="preserve"> „Was unterscheidet deine beiden Texte?“</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wie R1</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wahrgenommener Unterschied mit/ohne KI (EI B)</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Abgleich mit dem kodierten Vergleich T1.1 ↔ T2.1</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mittel</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verschiedene Bilder; Unterschiede auch bildbedingt</w:t>
            </w:r>
          </w:p>
        </w:tc>
        <w:tc>
          <w:tcPr>
            <w:tcW w:type="dxa" w:w="14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Frage 4 (vor der gestützten Frage)</w:t>
            </w:r>
          </w:p>
        </w:tc>
      </w:tr>
      <w:tr>
        <w:trPr>
          <w:cantSplit w:val="false"/>
        </w:trPr>
        <w:tc>
          <w:tcPr>
            <w:tcW w:type="dxa" w:w="26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R5</w:t>
            </w:r>
            <w:r>
              <w:rPr>
                <w:sz w:val="16"/>
                <w:szCs w:val="16"/>
              </w:rPr>
              <w:t xml:space="preserve"> „Schau dir die KI-Ausgabe noch einmal an: Welche Angaben darin kann man am Bild selbst erkennen, und welche nicht?“</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wie R1</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Deutung (gestützt); Kernindikator „Zuschreibung ohne Bildbeleg“</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Shen et al. 2021 ✓; DeVos et al. 2022 ✓ (Sensemaking)</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Abgleich mit der Kodierung „Zuschreibung ohne Bildbeleg“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mittel</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Die Frage wirkt wie eine Prüfungsfrage und ist eine Intervention mit Wirkung auf t2. Setzt voraus, dass Bild und Ausgabe im Interview sichtbar sind (ungeprüft).</w:t>
            </w:r>
          </w:p>
        </w:tc>
        <w:tc>
          <w:tcPr>
            <w:tcW w:type="dxa" w:w="14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Frage 5</w:t>
            </w:r>
          </w:p>
        </w:tc>
      </w:tr>
      <w:tr>
        <w:trPr>
          <w:cantSplit w:val="false"/>
        </w:trPr>
        <w:tc>
          <w:tcPr>
            <w:tcW w:type="dxa" w:w="26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R6</w:t>
            </w:r>
            <w:r>
              <w:rPr>
                <w:sz w:val="16"/>
                <w:szCs w:val="16"/>
              </w:rPr>
              <w:t xml:space="preserve"> „Was würdest du beim nächsten Mal anders machen?“</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wie R1</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Umgang/Konsequenz (Remediation)</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Shen et al. 2021 ✓; DeVos et al. 2022 ✓</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qualitativ; Abgleich mit t2</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mittel</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regt eine Planung für t2 an und verstärkt so den Interventionscharakter</w:t>
            </w:r>
          </w:p>
        </w:tc>
        <w:tc>
          <w:tcPr>
            <w:tcW w:type="dxa" w:w="14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Frage 6</w:t>
            </w:r>
          </w:p>
        </w:tc>
      </w:tr>
      <w:tr>
        <w:tc>
          <w:tcPr>
            <w:tcW w:type="dxa" w:w="15398"/>
            <w:gridSpan w:val="8"/>
            <w:tcBorders>
              <w:top w:val="single" w:color="999999" w:sz="4"/>
              <w:left w:val="single" w:color="999999" w:sz="4"/>
              <w:bottom w:val="single" w:color="999999" w:sz="4"/>
              <w:right w:val="single" w:color="999999" w:sz="4"/>
            </w:tcBorders>
            <w:shd w:fill="EEF2F5" w:color="auto" w:val="clear"/>
            <w:tcMar>
              <w:top w:type="dxa" w:w="50"/>
              <w:left w:type="dxa" w:w="80"/>
              <w:bottom w:type="dxa" w:w="50"/>
              <w:right w:type="dxa" w:w="80"/>
            </w:tcMar>
          </w:tcPr>
          <w:p>
            <w:pPr>
              <w:spacing w:after="40"/>
            </w:pPr>
            <w:r>
              <w:rPr>
                <w:sz w:val="18"/>
                <w:szCs w:val="18"/>
              </w:rPr>
              <w:t xml:space="preserve">F  Nachbefragung II (nur t1, nach dem Interview; t2 nur N2.5)</w:t>
            </w:r>
          </w:p>
        </w:tc>
      </w:tr>
      <w:tr>
        <w:trPr>
          <w:cantSplit w:val="false"/>
        </w:trPr>
        <w:tc>
          <w:tcPr>
            <w:tcW w:type="dxa" w:w="26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N2.1</w:t>
            </w:r>
            <w:r>
              <w:rPr>
                <w:sz w:val="16"/>
                <w:szCs w:val="16"/>
              </w:rPr>
              <w:t xml:space="preserve"> „Wusstest du schon vor der heutigen Sitzung, wofür Bildbeschreibungen (Alternativtexte) im Internet gebraucht werden?“ (Entwurf)</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ja · teilweise · nein · keine Angabe</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Kenntnis der Funktion von Alt-Text</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Entscheidung 09.10.2026; kein validiertes Item</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deskriptiv</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niedrig</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rückblickend; nach Aufgabe und Interview vermutlich überschätzt [Annahme]</w:t>
            </w:r>
          </w:p>
        </w:tc>
        <w:tc>
          <w:tcPr>
            <w:tcW w:type="dxa" w:w="14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t1, nach dem Interview. </w:t>
            </w:r>
            <w:r>
              <w:rPr>
                <w:sz w:val="16"/>
                <w:szCs w:val="16"/>
              </w:rPr>
              <w:t xml:space="preserve">Abweichung vom Plan</w:t>
            </w:r>
            <w:r>
              <w:rPr>
                <w:sz w:val="16"/>
                <w:szCs w:val="16"/>
              </w:rPr>
              <w:t xml:space="preserve">, Begründung in Teil 2</w:t>
            </w:r>
          </w:p>
        </w:tc>
      </w:tr>
      <w:tr>
        <w:trPr>
          <w:cantSplit w:val="false"/>
        </w:trPr>
        <w:tc>
          <w:tcPr>
            <w:tcW w:type="dxa" w:w="26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N2.2</w:t>
            </w:r>
            <w:r>
              <w:rPr>
                <w:sz w:val="16"/>
                <w:szCs w:val="16"/>
              </w:rPr>
              <w:t xml:space="preserve"> „Wusstest du schon vor der heutigen Sitzung, was ein Screenreader ist?“ (Entwurf; Kenntnis, nicht Nutzung)</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ja · ungefähr · nein · keine Angabe</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Kenntnis assistiver Technologie</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Entscheidung 09.10.2026; kein validiertes Item</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deskriptiv</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niedrig</w:t>
            </w:r>
            <w:r>
              <w:rPr>
                <w:sz w:val="16"/>
                <w:szCs w:val="16"/>
              </w:rPr>
              <w:t xml:space="preserve">. Die Kenntnisfrage vermeidet eine Offenlegung von Sehbeeinträchtigung.</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wie N2.1</w:t>
            </w:r>
          </w:p>
        </w:tc>
        <w:tc>
          <w:tcPr>
            <w:tcW w:type="dxa" w:w="14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wie N2.1</w:t>
            </w:r>
          </w:p>
        </w:tc>
      </w:tr>
      <w:tr>
        <w:trPr>
          <w:cantSplit w:val="false"/>
        </w:trPr>
        <w:tc>
          <w:tcPr>
            <w:tcW w:type="dxa" w:w="26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N2.3</w:t>
            </w:r>
            <w:r>
              <w:rPr>
                <w:sz w:val="16"/>
                <w:szCs w:val="16"/>
              </w:rPr>
              <w:t xml:space="preserve"> Bias-Items in Anlehnung an Ribes-Lafoz et al. 2026. </w:t>
            </w:r>
            <w:r>
              <w:rPr>
                <w:sz w:val="16"/>
                <w:szCs w:val="16"/>
              </w:rPr>
              <w:t xml:space="preserve">Wortlaut aus Quelle übernehmen</w:t>
            </w:r>
            <w:r>
              <w:rPr>
                <w:sz w:val="16"/>
                <w:szCs w:val="16"/>
              </w:rPr>
              <w:t xml:space="preserve">, übersetzen und auf Behinderung adaptieren.</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laut Quelle</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Bias-Bewusstsein (Selbstauskunft)</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Ribes-Lafoz, Navarro-Colorado &amp; Rovira-Collado 2026 ✓: Pilotbefragung, n = 65 Lehramtsstudierende Primarstufe, Kontext Sprachunterricht [Abstract]. Befund „Lücke zwischen allgemeiner Sorge und Erkennen konkreter Muster“ ungeprüft.</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nur deskriptiv auf Itemebene; Gegenüberstellung mit dem kodierten Umgang nur aggregiert</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niedrig</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nicht validiert; Übersetzung und Adaption verändern das Konstrukt; Antworten durch R5 geprägt</w:t>
            </w:r>
          </w:p>
        </w:tc>
        <w:tc>
          <w:tcPr>
            <w:tcW w:type="dxa" w:w="14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t1, nach N2.2</w:t>
            </w:r>
          </w:p>
        </w:tc>
      </w:tr>
      <w:tr>
        <w:trPr>
          <w:cantSplit w:val="false"/>
        </w:trPr>
        <w:tc>
          <w:tcPr>
            <w:tcW w:type="dxa" w:w="26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N2.4 (nur bei Variante B oder C)</w:t>
            </w:r>
            <w:r>
              <w:rPr>
                <w:sz w:val="16"/>
                <w:szCs w:val="16"/>
              </w:rPr>
              <w:t xml:space="preserve"> Item zu eigener Behinderungs- oder Diskriminierungserfahrung; Wortlaut s. Teil 1b</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ja · nein · möchte ich nicht sagen</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s. Teil 1b</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DeVos et al. 2022 ✓</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nur aggregiert; keine Verknüpfung mit Einzeltexten</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hoch</w:t>
            </w:r>
            <w:r>
              <w:rPr>
                <w:sz w:val="16"/>
                <w:szCs w:val="16"/>
              </w:rPr>
              <w:t xml:space="preserve"> (B) bzw. </w:t>
            </w:r>
            <w:r>
              <w:rPr>
                <w:sz w:val="16"/>
                <w:szCs w:val="16"/>
              </w:rPr>
              <w:t xml:space="preserve">mittel–hoch</w:t>
            </w:r>
            <w:r>
              <w:rPr>
                <w:sz w:val="16"/>
                <w:szCs w:val="16"/>
              </w:rPr>
              <w:t xml:space="preserve"> (C)</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s. Teil 1b</w:t>
            </w:r>
          </w:p>
        </w:tc>
        <w:tc>
          <w:tcPr>
            <w:tcW w:type="dxa" w:w="14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t1, letztes inhaltliches Item, eigene Seite</w:t>
            </w:r>
          </w:p>
        </w:tc>
      </w:tr>
      <w:tr>
        <w:trPr>
          <w:cantSplit w:val="false"/>
        </w:trPr>
        <w:tc>
          <w:tcPr>
            <w:tcW w:type="dxa" w:w="26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N2.5</w:t>
            </w:r>
            <w:r>
              <w:rPr>
                <w:sz w:val="16"/>
                <w:szCs w:val="16"/>
              </w:rPr>
              <w:t xml:space="preserve"> Zufriedenheitsfrage (fest in reason8). </w:t>
            </w:r>
            <w:r>
              <w:rPr>
                <w:sz w:val="16"/>
                <w:szCs w:val="16"/>
              </w:rPr>
              <w:t xml:space="preserve">Wortlaut aus reason8 übernehmen.</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1–7</w:t>
            </w:r>
          </w:p>
        </w:tc>
        <w:tc>
          <w:tcPr>
            <w:tcW w:type="dxa" w:w="14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unklar (Zufriedenheit womit?)</w:t>
            </w:r>
          </w:p>
        </w:tc>
        <w:tc>
          <w:tcPr>
            <w:tcW w:type="dxa" w:w="23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Systemvorgabe reason8</w:t>
            </w:r>
          </w:p>
        </w:tc>
        <w:tc>
          <w:tcPr>
            <w:tcW w:type="dxa" w:w="185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nicht auswerten</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niedrig</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berührt die Setzung „keine Seminarevaluation“. Prüfen, ob sie abschaltbar ist; sonst im Methodenteil als nicht ausgewertet ausweisen.</w:t>
            </w:r>
          </w:p>
        </w:tc>
        <w:tc>
          <w:tcPr>
            <w:tcW w:type="dxa" w:w="144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t1/t2, Ende</w:t>
            </w:r>
          </w:p>
        </w:tc>
      </w:tr>
    </w:tbl>
    <w:p>
      <w:pPr>
        <w:pStyle w:val="Heading2"/>
      </w:pPr>
      <w:r>
        <w:t xml:space="preserve">1b  Eigene Behinderungs- oder Diskriminierungserfahrung: Varianten und Folgen</w:t>
      </w:r>
    </w:p>
    <w:p>
      <w:pPr>
        <w:spacing w:after="120"/>
      </w:pPr>
      <w:r>
        <w:rPr>
          <w:b/>
          <w:bCs/>
        </w:rPr>
        <w:t xml:space="preserve">Prüfung der Einwände aus dem Vorchat.</w:t>
      </w:r>
      <w:r>
        <w:t xml:space="preserve"> (a) trägt. Behinderungsangaben sind Gesundheitsdaten. Diskriminierungserfahrungen können je nach Merkmal weitere Kategorien des Art. 9 offenlegen. (b) trägt mit einer Präzisierung: Entscheidend ist nicht die Gruppengröße von 30, sondern dass der Erhebende auch die Nichtantwort personenbezogen sieht. (c) trägt, und das Argument wiegt schwerer als bisher formuliert, s. Zeile „Auswertbarkeit“. (d) ist überzeichnet: Ein Votum ist auch ohne das Item angezeigt. (e) trägt.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4300"/>
        <w:gridCol w:w="4398"/>
      </w:tblGrid>
      <w:tr>
        <w:trPr>
          <w:tblHeader/>
        </w:trPr>
        <w:tc>
          <w:tcPr>
            <w:tcW w:type="dxa" w:w="2400"/>
            <w:tcBorders>
              <w:top w:val="single" w:color="999999" w:sz="4"/>
              <w:left w:val="single" w:color="999999" w:sz="4"/>
              <w:bottom w:val="single" w:color="999999" w:sz="4"/>
              <w:right w:val="single" w:color="999999" w:sz="4"/>
            </w:tcBorders>
            <w:shd w:fill="D9E2EC" w:color="auto" w:val="clear"/>
            <w:tcMar>
              <w:top w:type="dxa" w:w="50"/>
              <w:left w:type="dxa" w:w="80"/>
              <w:bottom w:type="dxa" w:w="50"/>
              <w:right w:type="dxa" w:w="80"/>
            </w:tcMar>
          </w:tcPr>
          <w:p>
            <w:pPr>
              <w:spacing w:after="40"/>
            </w:pPr>
            <w:r>
              <w:rPr>
                <w:b/>
                <w:bCs/>
                <w:sz w:val="16"/>
                <w:szCs w:val="16"/>
              </w:rPr>
              <w:t xml:space="preserve">Kriterium</w:t>
            </w:r>
          </w:p>
        </w:tc>
        <w:tc>
          <w:tcPr>
            <w:tcW w:type="dxa" w:w="4300"/>
            <w:tcBorders>
              <w:top w:val="single" w:color="999999" w:sz="4"/>
              <w:left w:val="single" w:color="999999" w:sz="4"/>
              <w:bottom w:val="single" w:color="999999" w:sz="4"/>
              <w:right w:val="single" w:color="999999" w:sz="4"/>
            </w:tcBorders>
            <w:shd w:fill="D9E2EC" w:color="auto" w:val="clear"/>
            <w:tcMar>
              <w:top w:type="dxa" w:w="50"/>
              <w:left w:type="dxa" w:w="80"/>
              <w:bottom w:type="dxa" w:w="50"/>
              <w:right w:type="dxa" w:w="80"/>
            </w:tcMar>
          </w:tcPr>
          <w:p>
            <w:pPr>
              <w:spacing w:after="40"/>
            </w:pPr>
            <w:r>
              <w:rPr>
                <w:b/>
                <w:bCs/>
                <w:sz w:val="16"/>
                <w:szCs w:val="16"/>
              </w:rPr>
              <w:t xml:space="preserve">Variante A: nicht erheben</w:t>
            </w:r>
          </w:p>
        </w:tc>
        <w:tc>
          <w:tcPr>
            <w:tcW w:type="dxa" w:w="4300"/>
            <w:tcBorders>
              <w:top w:val="single" w:color="999999" w:sz="4"/>
              <w:left w:val="single" w:color="999999" w:sz="4"/>
              <w:bottom w:val="single" w:color="999999" w:sz="4"/>
              <w:right w:val="single" w:color="999999" w:sz="4"/>
            </w:tcBorders>
            <w:shd w:fill="D9E2EC" w:color="auto" w:val="clear"/>
            <w:tcMar>
              <w:top w:type="dxa" w:w="50"/>
              <w:left w:type="dxa" w:w="80"/>
              <w:bottom w:type="dxa" w:w="50"/>
              <w:right w:type="dxa" w:w="80"/>
            </w:tcMar>
          </w:tcPr>
          <w:p>
            <w:pPr>
              <w:spacing w:after="40"/>
            </w:pPr>
            <w:r>
              <w:rPr>
                <w:b/>
                <w:bCs/>
                <w:sz w:val="16"/>
                <w:szCs w:val="16"/>
              </w:rPr>
              <w:t xml:space="preserve">Variante B: Behinderungs- oder Diskriminierungserfahrung (wie geplant)</w:t>
            </w:r>
          </w:p>
        </w:tc>
        <w:tc>
          <w:tcPr>
            <w:tcW w:type="dxa" w:w="4398"/>
            <w:tcBorders>
              <w:top w:val="single" w:color="999999" w:sz="4"/>
              <w:left w:val="single" w:color="999999" w:sz="4"/>
              <w:bottom w:val="single" w:color="999999" w:sz="4"/>
              <w:right w:val="single" w:color="999999" w:sz="4"/>
            </w:tcBorders>
            <w:shd w:fill="D9E2EC" w:color="auto" w:val="clear"/>
            <w:tcMar>
              <w:top w:type="dxa" w:w="50"/>
              <w:left w:type="dxa" w:w="80"/>
              <w:bottom w:type="dxa" w:w="50"/>
              <w:right w:type="dxa" w:w="80"/>
            </w:tcMar>
          </w:tcPr>
          <w:p>
            <w:pPr>
              <w:spacing w:after="40"/>
            </w:pPr>
            <w:r>
              <w:rPr>
                <w:b/>
                <w:bCs/>
                <w:sz w:val="16"/>
                <w:szCs w:val="16"/>
              </w:rPr>
              <w:t xml:space="preserve">Variante C: allgemeine Diskriminierungserfahrung ohne Merkmal</w:t>
            </w:r>
          </w:p>
        </w:tc>
      </w:tr>
      <w:tr>
        <w:trPr>
          <w:cantSplit w:val="false"/>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Wortlaut (Entwurf)</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„Hast du selbst Erfahrungen mit Benachteiligung aufgrund einer Behinderung oder chronischen Erkrankung gemacht?“ ja · nein · möchte ich nicht sagen</w:t>
            </w:r>
          </w:p>
        </w:tc>
        <w:tc>
          <w:tcPr>
            <w:tcW w:type="dxa" w:w="43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„Hast du selbst schon erlebt, dass du benachteiligt oder ausgegrenzt wurdest?“ ja · nein · möchte ich nicht sagen</w:t>
            </w:r>
          </w:p>
        </w:tc>
      </w:tr>
      <w:tr>
        <w:trPr>
          <w:cantSplit w:val="false"/>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Rechtsgrundlage</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keine zusätzliche für das Item. Aber: Spontane Angaben im Interview sind trotzdem möglich (s. u.).</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Gesundheitsdaten (Art. 4 Nr. 15, Art. 9 Abs. 1 DSGVO). Ausdrückliche, gesonderte Einwilligung (Art. 9 Abs. 2 lit. a) oder Forschungsklausel (lit. j) in Verbindung mit Landesrecht (für die HU: Berliner Datenschutzgesetz; konkrete Norm ungeprüft). </w:t>
            </w:r>
            <w:r>
              <w:rPr>
                <w:sz w:val="16"/>
                <w:szCs w:val="16"/>
              </w:rPr>
              <w:t xml:space="preserve">Keine Rechtsberatung:</w:t>
            </w:r>
            <w:r>
              <w:rPr>
                <w:sz w:val="16"/>
                <w:szCs w:val="16"/>
              </w:rPr>
              <w:t xml:space="preserve"> HU-Datenschutz einbinden.</w:t>
            </w:r>
          </w:p>
        </w:tc>
        <w:tc>
          <w:tcPr>
            <w:tcW w:type="dxa" w:w="43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Das Merkmal bleibt offen, deshalb fällt das Item möglicherweise nicht unter Art. 9 [Interpretation, rechtlich ungeprüft]. Sensibel ist es trotzdem; gesonderte Einwilligung empfohlen.</w:t>
            </w:r>
          </w:p>
        </w:tc>
      </w:tr>
      <w:tr>
        <w:trPr>
          <w:cantSplit w:val="false"/>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Freiwilligkeit / Machtgefälle</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entfällt</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eingeschränkt: Erhebender ist der Dozent. Auch „möchte ich nicht sagen“ ist für ihn personenbeziehbar, solange er die Fallnummern zuordnen kann. Gegenmittel: Zuordnungsschlüssel bei einer nicht lehrenden Person; Forschungseinwilligung erst nach der Notenvergabe (so schon die Erhebungskarte vom 30.09.).</w:t>
            </w:r>
          </w:p>
        </w:tc>
        <w:tc>
          <w:tcPr>
            <w:tcW w:type="dxa" w:w="43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wie B, etwas abgeschwächt</w:t>
            </w:r>
          </w:p>
        </w:tc>
      </w:tr>
      <w:tr>
        <w:trPr>
          <w:cantSplit w:val="false"/>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Auswertbarkeit</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Bei n ≈ 60 nicht statistisch auswertbar. Sinnvoll wäre nur die qualitative Verknüpfung mit Interview und Text, und genau die schließen die Bedingungen aus (nur aggregiert, keine Verknüpfung). </w:t>
            </w:r>
            <w:r>
              <w:rPr>
                <w:sz w:val="16"/>
                <w:szCs w:val="16"/>
              </w:rPr>
              <w:t xml:space="preserve">Unter den Bedingungen bleibt eine Häufigkeit ohne Erkenntniswert für das DeVos-Argument</w:t>
            </w:r>
            <w:r>
              <w:rPr>
                <w:sz w:val="16"/>
                <w:szCs w:val="16"/>
              </w:rPr>
              <w:t xml:space="preserve"> [Interpretation].</w:t>
            </w:r>
          </w:p>
        </w:tc>
        <w:tc>
          <w:tcPr>
            <w:tcW w:type="dxa" w:w="43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wie B</w:t>
            </w:r>
          </w:p>
        </w:tc>
      </w:tr>
      <w:tr>
        <w:trPr>
          <w:cantSplit w:val="false"/>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Identifizierbarkeit</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hoch in Kombination mit Studiengang (Reha-Schicht 3–6 je Kurs) und Alter</w:t>
            </w:r>
          </w:p>
        </w:tc>
        <w:tc>
          <w:tcPr>
            <w:tcW w:type="dxa" w:w="43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mittel–hoch</w:t>
            </w:r>
          </w:p>
        </w:tc>
      </w:tr>
      <w:tr>
        <w:trPr>
          <w:cantSplit w:val="false"/>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Ethikvotum</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Ein Votum ist wegen des Abhängigkeitsverhältnisses und des KI-Interviews ohnehin naheliegend [Empfehlung]; ob es Pflicht ist, regelt die Ordnung der zuständigen Kommission (ungeprüft).</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Das Item macht ein Votum dringlicher. Einwand (d) „faktisch zwingend“ ist aber überzeichnet: Der Bedarf besteht schon ohne das Item.</w:t>
            </w:r>
          </w:p>
        </w:tc>
        <w:tc>
          <w:tcPr>
            <w:tcW w:type="dxa" w:w="43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wie B</w:t>
            </w:r>
          </w:p>
        </w:tc>
      </w:tr>
      <w:tr>
        <w:trPr>
          <w:cantSplit w:val="false"/>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Leitdokument</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konsistent (Behinderungsitems ausgeschlossen)</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Änderung des Leitdokuments nötig und zu begründen</w:t>
            </w:r>
          </w:p>
        </w:tc>
        <w:tc>
          <w:tcPr>
            <w:tcW w:type="dxa" w:w="43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Änderung nötig</w:t>
            </w:r>
          </w:p>
        </w:tc>
      </w:tr>
      <w:tr>
        <w:trPr>
          <w:cantSplit w:val="false"/>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Inhaltlicher Ertrag</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Argument als Limitation führbar</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DeVos et al. 2022 [Befund, Abstract]: Suchstrategien und Deutungen der Nutzenden sind stark geprägt von „personal experiences with and exposures to societal bias“. Gewonnen wurde das aus Think-aloud-Interviews, Tagebüchern und Workshops, nicht aus einem Fragebogenitem. Ein Ja/Nein-Item bildet diese Erfahrung nicht ab [Interpretation].</w:t>
            </w:r>
          </w:p>
        </w:tc>
        <w:tc>
          <w:tcPr>
            <w:tcW w:type="dxa" w:w="43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Der weite Wortlaut liegt näher an „exposure to societal bias“ (DeVos) als B; der Ertrag bleibt gleich gering.</w:t>
            </w:r>
          </w:p>
        </w:tc>
      </w:tr>
      <w:tr>
        <w:trPr>
          <w:cantSplit w:val="false"/>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Bedingungen, falls erhoben</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w:t>
            </w:r>
          </w:p>
        </w:tc>
        <w:tc>
          <w:tcPr>
            <w:tcW w:type="dxa" w:w="4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gesonderte Einwilligung; eigene Seite am Ende von t1; nur aggregiert berichten; keine Verknüpfung mit Einzeltexten oder Interviews in Publikationen; Zellen &lt; 5 nicht berichten; Schlüssel bei Dritten</w:t>
            </w:r>
          </w:p>
        </w:tc>
        <w:tc>
          <w:tcPr>
            <w:tcW w:type="dxa" w:w="43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6"/>
                <w:szCs w:val="16"/>
              </w:rPr>
              <w:t xml:space="preserve">wie B</w:t>
            </w:r>
          </w:p>
        </w:tc>
      </w:tr>
    </w:tbl>
    <w:p>
      <w:pPr>
        <w:spacing w:after="120"/>
      </w:pPr>
    </w:p>
    <w:p>
      <w:pPr>
        <w:spacing w:after="120"/>
      </w:pPr>
      <w:r>
        <w:rPr>
          <w:b/>
          <w:bCs/>
        </w:rPr>
        <w:t xml:space="preserve">Folge, die alle Varianten betrifft</w:t>
      </w:r>
      <w:r>
        <w:t xml:space="preserve"> [Interpretation]: Auch in Variante A können Art.-9-Daten anfallen, weil Studierende im Interview oder in Prompts spontan eigene Erfahrungen nennen können. Diese Eingaben gehen an den Modellanbieter. Einwilligungstext, Löschkonzept und eine Schwärzungsregel für Transkripte müssen das abdecken.</w:t>
      </w:r>
    </w:p>
    <w:p>
      <w:pPr>
        <w:spacing w:after="120"/>
      </w:pPr>
      <w:r>
        <w:rPr>
          <w:b/>
          <w:bCs/>
        </w:rPr>
        <w:t xml:space="preserve">[Empfehlung]</w:t>
      </w:r>
      <w:r>
        <w:t xml:space="preserve"> Variante A, das DeVos-Argument als Limitation im Methodenteil. Wird doch erhoben, dann eher C als B, weil C weniger sensibel ist und näher am DeVos-Befund liegt. In beiden Fällen gelten die Bedingungen aus der letzten Zeile.</w:t>
      </w:r>
    </w:p>
    <w:p>
      <w:pPr>
        <w:sectPr>
          <w:footerReference w:type="default" r:id="rId8"/>
          <w:pgSz w:w="16838" w:h="11906" w:orient="landscape"/>
          <w:pgMar w:top="720" w:right="720" w:bottom="720" w:left="720" w:header="708" w:footer="708" w:gutter="0"/>
          <w:pgNumType/>
          <w:docGrid w:linePitch="360"/>
        </w:sectPr>
      </w:pPr>
    </w:p>
    <w:p>
      <w:pPr>
        <w:pStyle w:val="Heading1"/>
      </w:pPr>
      <w:r>
        <w:t xml:space="preserve">2  Begründung der Reihenfolge</w:t>
      </w:r>
    </w:p>
    <w:p>
      <w:pPr>
        <w:pStyle w:val="Heading3"/>
      </w:pPr>
      <w:r>
        <w:t xml:space="preserve">Empfohlener Ablauf</w:t>
      </w:r>
    </w:p>
    <w:p>
      <w:pPr>
        <w:spacing w:after="120"/>
      </w:pPr>
      <w:r>
        <w:rPr>
          <w:b/>
          <w:bCs/>
        </w:rPr>
        <w:t xml:space="preserve">t1 (22.10.2026):</w:t>
      </w:r>
      <w:r>
        <w:t xml:space="preserve"> Einwilligung (bei Variante B/C mit gesondertem Teil) → Vorbefragung V1–V7 → Text 1 ohne KI (T1.1) → Text 2 mit KI (T2.1) → Nachbefragung I: Konfidenz Text 1 rückblickend (N1.3), Konfidenz Text 2 (N1.1), wahrgenommener KI-Anteil (N1.2) → Reflexionsinterview R1–R6 → Nachbefragung II: Kenntnis Alt-Text und Screenreader (N2.1, N2.2), Bias-Items (N2.3), ggf. N2.4 → Zufriedenheit (N2.5) → Abschluss.</w:t>
      </w:r>
    </w:p>
    <w:p>
      <w:pPr>
        <w:spacing w:after="120"/>
      </w:pPr>
      <w:r>
        <w:rPr>
          <w:b/>
          <w:bCs/>
        </w:rPr>
        <w:t xml:space="preserve">t2 (14.01.2027):</w:t>
      </w:r>
      <w:r>
        <w:t xml:space="preserve"> Bestätigung der Einwilligung → Text 3 ohne KI → Text 4 mit KI → Nachbefragung I → Reflexionsinterview → Zufriedenheit → Abschluss.</w:t>
      </w:r>
    </w:p>
    <w:p>
      <w:pPr>
        <w:spacing w:after="120"/>
      </w:pPr>
      <w:r>
        <w:t xml:space="preserve">Gegenüber dem Plan ändern sich zwei Dinge: Die Konfidenz zu Text 1 wandert nach hinten, und die Kenntnisfragen zu Alt-Text und Screenreadern wandern aus der Vorbefragung ans Ende.</w:t>
      </w:r>
    </w:p>
    <w:p>
      <w:pPr>
        <w:pStyle w:val="Heading3"/>
      </w:pPr>
      <w:r>
        <w:t xml:space="preserve">2.1  Keine Bias- oder Behinderungsitems vor den Texten</w:t>
      </w:r>
    </w:p>
    <w:p>
      <w:pPr>
        <w:spacing w:after="120"/>
      </w:pPr>
      <w:r>
        <w:t xml:space="preserve">[Annahme] Vorausgehende Fragen schaffen einen Interpretations- und Abrufkontext für spätere Antworten. Das ist der Kern der Kontexteffekte in Befragungen (Tourangeau, Rips &amp; Rasinski 2000 ✓; Kapitel und Seiten am Volltext suchen, ungeprüft). Hier ist die „spätere Antwort“ kein Item, sondern ein Text. Dass Frageneffekte auf eine Schreibaufgabe übertragbar sind, ist eine Analogie, kein Befund [Interpretation].</w:t>
      </w:r>
    </w:p>
    <w:p>
      <w:pPr>
        <w:spacing w:after="120"/>
      </w:pPr>
      <w:r>
        <w:rPr>
          <w:b/>
          <w:bCs/>
        </w:rPr>
        <w:t xml:space="preserve">Folge für die Kenntnisfragen (Abweichung vom Plan).</w:t>
      </w:r>
      <w:r>
        <w:t xml:space="preserve"> Der Begriff „Screenreader“ und die Funktion von Alt-Texten verweisen auf blinde und sehbeeinträchtigte Menschen. Vor den Texten verletzen sie deshalb die eigene Setzung, sofern die Aufgabeninstruktion neutral ist (Erhebungskarte vom 30.09.: „BB mit neutraler Instruktion“). Ich verschiebe die Kenntnisfragen deshalb ans Ende von t1 (N2.1, N2.2). In der Vorbefragung bleibt nur V7, die bloße Schreiberfahrung ohne Zweckbezug. Kosten der Verschiebung: Die Antworten sind rückblickend und vermutlich überschätzt. </w:t>
      </w:r>
      <w:r>
        <w:rPr>
          <w:b/>
          <w:bCs/>
        </w:rPr>
        <w:t xml:space="preserve">Nennt die Instruktion den Zweck ohnehin, entfällt das Primingargument</w:t>
      </w:r>
      <w:r>
        <w:t xml:space="preserve">; dann können N2.1 und N2.2 in die Vorbefragung.</w:t>
      </w:r>
    </w:p>
    <w:p>
      <w:pPr>
        <w:spacing w:after="120"/>
      </w:pPr>
      <w:r>
        <w:t xml:space="preserve">Auch V3 sollte keine Beispiele wie „Schulbegleitung“ enthalten. V8 (Vertrauen) kann vor den Texten die Aufmerksamkeit auf die KI lenken. Das ist eine plausible, aber unbelegte Annahme und ein weiterer Grund, V8 wegzulassen.</w:t>
      </w:r>
    </w:p>
    <w:p>
      <w:pPr>
        <w:pStyle w:val="Heading3"/>
      </w:pPr>
      <w:r>
        <w:t xml:space="preserve">2.2  Konfidenz und Einflussschätzung vor dem Interview</w:t>
      </w:r>
    </w:p>
    <w:p>
      <w:pPr>
        <w:spacing w:after="120"/>
      </w:pPr>
      <w:r>
        <w:t xml:space="preserve">[Befund, Abstract] Ren (2026 ✓) hat 342 Studierende auf drei Bedingungen verteilt (between-subjects): unabhängige Entscheidung, offene ChatGPT-Unterstützung, Unterstützung plus kurzer metakognitiver Reflexionsprompt. Der Reflexionsprompt verbesserte die Kalibrierung des Bewusstseins (0,59 vs. 0,41) und senkte den Attributionsbias-Index (0,21 vs. 0,42).</w:t>
      </w:r>
    </w:p>
    <w:p>
      <w:pPr>
        <w:spacing w:after="120"/>
      </w:pPr>
      <w:r>
        <w:t xml:space="preserve">[Interpretation] Das stützt die Annahme, dass eine Reflexion die Selbsteinschätzung der eigenen KI-Abhängigkeit verändert. Das Interview ist also selbst eine Intervention, und N1 gehört davor. Die Übertragung hat Grenzen: Ren verwendete Denk- und Bewertungsaufgaben mit Richtig/Falsch-Kriterium, und der Prompt lag vor der Endentscheidung. Hier liegt das Interview nach der Abgabe. Es verändert also nicht den Text, sondern nur die anschließenden Selbstauskünfte.</w:t>
      </w:r>
    </w:p>
    <w:p>
      <w:pPr>
        <w:spacing w:after="120"/>
      </w:pPr>
      <w:r>
        <w:t xml:space="preserve">[Befund, Abstract] Williams-Ceci et al. (2024, Preprint ✓) berichten aus zwei präregistrierten Experimenten (N = 2.582): Eine Mehrheit bemerkte die Verzerrung der KI-Vorschläge und deren Einfluss nicht. Warnhinweise vor oder nach der Exposition minderten den Einfluss nicht. Das spricht dafür, den wahrgenommenen Einfluss separat zu erheben und mit dem kodierten zu vergleichen. Es ist aber nicht begutachtet.</w:t>
      </w:r>
    </w:p>
    <w:p>
      <w:pPr>
        <w:pStyle w:val="Heading3"/>
      </w:pPr>
      <w:r>
        <w:t xml:space="preserve">2.3  Konfidenz nach Text 1: verschieben statt sofort abfragen</w:t>
      </w:r>
    </w:p>
    <w:p>
      <w:pPr>
        <w:spacing w:after="120"/>
      </w:pPr>
      <w:r>
        <w:t xml:space="preserve">[Befund, Abstract] Double &amp; Birney (2019 ✓, Review): Metakognitive Messungen, darunter Konfidenzurteile, können sowohl metakognitive Prozesse als auch die Leistung verändern. Größe und Richtung des Effekts sind uneinheitlich. Eine Konfidenzabfrage direkt nach Text 1 kann also den Umgang mit der KI-Ausgabe bei Text 2 beeinflussen, und dieser Umgang ist der Kern von EI A.</w:t>
      </w:r>
    </w:p>
    <w:p>
      <w:pPr>
        <w:spacing w:after="120"/>
      </w:pPr>
      <w:r>
        <w:rPr>
          <w:b/>
          <w:bCs/>
        </w:rPr>
        <w:t xml:space="preserve">Optionen.</w:t>
      </w:r>
      <w:r>
        <w:t xml:space="preserve"> (a) Wie geplant abfragen und als Limitation führen: Bedrohung für EI A. (b) Rückblickend in N1 vor N1.1 abfragen: Bedrohung nur für die deskriptive Konfidenz zu Text 1 (Kontrasteffekt nach dem KI-Kontakt) [Annahme]. (c) Streichen: Dann entfällt der Konfidenzvergleich mit und ohne KI.</w:t>
      </w:r>
    </w:p>
    <w:p>
      <w:pPr>
        <w:spacing w:after="120"/>
      </w:pPr>
      <w:r>
        <w:t xml:space="preserve">[Empfehlung] (b). Die Konfidenz zu Text 1 dient nur der Beschreibung, eine Verzerrung des Umgangs mit Text 2 träfe dagegen das Kerninteresse. Nebeneffekt: Zwischen Text 1 und Text 2 ist dann kein Fragebogen nötig. Ob reason8 das zuließe, ist ungeprüft.</w:t>
      </w:r>
    </w:p>
    <w:p>
      <w:pPr>
        <w:pStyle w:val="Heading3"/>
      </w:pPr>
      <w:r>
        <w:t xml:space="preserve">2.4  Bias-Items nach dem Interview</w:t>
      </w:r>
    </w:p>
    <w:p>
      <w:pPr>
        <w:spacing w:after="120"/>
      </w:pPr>
      <w:r>
        <w:t xml:space="preserve">[Annahme] Bias-Items vor dem Interview würden R3 („aufgefallen“, ungestützt) und R4 vorstrukturieren und die Antworten an das Itemvokabular binden. Nach dem Interview prägen umgekehrt R5 und die gesamte Reflexion die Itemantworten. Das ist hinnehmbar, weil die Items nur deskriptiv dienen. Im Methodenteil muss es aber stehen.</w:t>
      </w:r>
    </w:p>
    <w:p>
      <w:pPr>
        <w:pStyle w:val="Heading3"/>
      </w:pPr>
      <w:r>
        <w:t xml:space="preserve">2.5  Innerhalb des Interviews: erst ungestützt, dann gestützt</w:t>
      </w:r>
    </w:p>
    <w:p>
      <w:pPr>
        <w:spacing w:after="120"/>
      </w:pPr>
      <w:r>
        <w:t xml:space="preserve">Gegenüber dem Entwurf aus dem Vorchat stelle ich die Frage nach dem Unterschied der Texte (jetzt R4) </w:t>
      </w:r>
      <w:r>
        <w:rPr>
          <w:b/>
          <w:bCs/>
        </w:rPr>
        <w:t xml:space="preserve">vor</w:t>
      </w:r>
      <w:r>
        <w:t xml:space="preserve"> die gestützte Bildbeleg-Frage (R5). Sonst würden die Antworten zum Textvergleich durch das in R5 eingeführte Kriterium geprägt (Trichterprinzip, Helfferich 2011 ✓, Seiten ungeprüft).</w:t>
      </w:r>
    </w:p>
    <w:p>
      <w:pPr>
        <w:pStyle w:val="Heading1"/>
      </w:pPr>
      <w:r>
        <w:t xml:space="preserve">3  Leitfaden für das Reflexionsinterview</w:t>
      </w:r>
    </w:p>
    <w:p>
      <w:pPr>
        <w:pStyle w:val="Heading3"/>
      </w:pPr>
      <w:r>
        <w:t xml:space="preserve">3.1  Theoretischer Rahmen und seine Grenzen</w:t>
      </w:r>
    </w:p>
    <w:p>
      <w:pPr>
        <w:spacing w:after="120"/>
      </w:pPr>
      <w:r>
        <w:t xml:space="preserve">[Annahme] Das Interview folgt heuristisch dem Prozess des </w:t>
      </w:r>
      <w:r>
        <w:rPr>
          <w:i/>
          <w:iCs/>
        </w:rPr>
        <w:t xml:space="preserve">Everyday Algorithm Auditing</w:t>
      </w:r>
      <w:r>
        <w:t xml:space="preserve">: problematisches Systemverhalten bemerken, deuten, damit umgehen (Shen, DeVos, Eslami &amp; Holstein 2021 ✓; DeVos et al. 2022 ✓). Hinzu kommt die Reliance-Kategorie </w:t>
      </w:r>
      <w:r>
        <w:rPr>
          <w:i/>
          <w:iCs/>
        </w:rPr>
        <w:t xml:space="preserve">negotiation</w:t>
      </w:r>
      <w:r>
        <w:t xml:space="preserve"> für das Verändern (Sivaraman et al. 2023 ✓).</w:t>
      </w:r>
    </w:p>
    <w:p>
      <w:pPr>
        <w:spacing w:after="120"/>
      </w:pPr>
      <w:r>
        <w:rPr>
          <w:b/>
          <w:bCs/>
        </w:rPr>
        <w:t xml:space="preserve">Prüfvermerk.</w:t>
      </w:r>
      <w:r>
        <w:t xml:space="preserve"> Die Abstracts sprechen von „detect, understand, and interrogate“ (Shen et al.) und von einem Prozessmodell des „search and sensemaking“ (DeVos et al.). Die Schrittbezeichnungen „Aufmerksamkeit → Sensemaking → Remediation“ habe ich am Abstract nicht gefunden; sie sind am Volltext zu prüfen. Sivaraman et al. untersuchten 24 Intensivmediziner*innen bei Therapieempfehlungen zu Sepsis. Die Übertragung auf Bildbeschreibungen durch Erstsemester ist eine Analogie. „Everyday“ meint Alltagsnutzung, die Seminaraufgabe ist eine angeleitete Situation.</w:t>
      </w:r>
    </w:p>
    <w:p>
      <w:pPr>
        <w:spacing w:after="120"/>
      </w:pPr>
      <w:r>
        <w:t xml:space="preserve">Für die Methode gilt: erst offen, dann gezielt (Trichterprinzip, Helfferich 2011 ✓, Seiten ungeprüft). Die Kernfragen sind fest, adaptiv sind nur die Nachfragen. Zur KI als Interviewer liegt Wuttke et al. 2025 vor (✓; Abstract nicht verfügbar, Befunde und Grenzen </w:t>
      </w:r>
      <w:r>
        <w:rPr>
          <w:b/>
          <w:bCs/>
        </w:rPr>
        <w:t xml:space="preserve">ungeprüft</w:t>
      </w:r>
      <w:r>
        <w:t xml:space="preserve">).</w:t>
      </w:r>
    </w:p>
    <w:p>
      <w:pPr>
        <w:pStyle w:val="Heading3"/>
      </w:pPr>
      <w:r>
        <w:t xml:space="preserve">3.2  Kernfragen (6)</w:t>
      </w:r>
    </w:p>
    <w:p>
      <w:pPr>
        <w:spacing w:after="120"/>
      </w:pPr>
      <w:r>
        <w:t xml:space="preserve">Gegenüber den sieben Fragen aus dem Vorchat: Die Frage „Wie bist du beim Text mit KI vorgegangen?“ entfällt. Den Ablauf zeichnen die Prompts und Einfüge-Events genauer auf, als eine rückblickende Selbstauskunft es könnte (Russo, Johnson &amp; Stephens 1989 ✓ zur Validität verbaler Protokolle; Befunde ungeprüft). R2 nennt jetzt alle vier Operationen aus EI A, also auch „selbst ergänzt“ (= neu einführen); im Entwurf fehlte diese Operation. R4 steht vor R5 (s.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900"/>
        <w:gridCol w:w="2100"/>
        <w:gridCol w:w="1838"/>
      </w:tblGrid>
      <w:tr>
        <w:trPr>
          <w:tblHeader/>
        </w:trPr>
        <w:tc>
          <w:tcPr>
            <w:tcW w:type="dxa" w:w="600"/>
            <w:tcBorders>
              <w:top w:val="single" w:color="999999" w:sz="4"/>
              <w:left w:val="single" w:color="999999" w:sz="4"/>
              <w:bottom w:val="single" w:color="999999" w:sz="4"/>
              <w:right w:val="single" w:color="999999" w:sz="4"/>
            </w:tcBorders>
            <w:shd w:fill="D9E2EC" w:color="auto" w:val="clear"/>
            <w:tcMar>
              <w:top w:type="dxa" w:w="50"/>
              <w:left w:type="dxa" w:w="80"/>
              <w:bottom w:type="dxa" w:w="50"/>
              <w:right w:type="dxa" w:w="80"/>
            </w:tcMar>
          </w:tcPr>
          <w:p>
            <w:pPr>
              <w:spacing w:after="40"/>
            </w:pPr>
            <w:r>
              <w:rPr>
                <w:b/>
                <w:bCs/>
                <w:sz w:val="17"/>
                <w:szCs w:val="17"/>
              </w:rPr>
              <w:t xml:space="preserve">Nr.</w:t>
            </w:r>
          </w:p>
        </w:tc>
        <w:tc>
          <w:tcPr>
            <w:tcW w:type="dxa" w:w="3200"/>
            <w:tcBorders>
              <w:top w:val="single" w:color="999999" w:sz="4"/>
              <w:left w:val="single" w:color="999999" w:sz="4"/>
              <w:bottom w:val="single" w:color="999999" w:sz="4"/>
              <w:right w:val="single" w:color="999999" w:sz="4"/>
            </w:tcBorders>
            <w:shd w:fill="D9E2EC" w:color="auto" w:val="clear"/>
            <w:tcMar>
              <w:top w:type="dxa" w:w="50"/>
              <w:left w:type="dxa" w:w="80"/>
              <w:bottom w:type="dxa" w:w="50"/>
              <w:right w:type="dxa" w:w="80"/>
            </w:tcMar>
          </w:tcPr>
          <w:p>
            <w:pPr>
              <w:spacing w:after="40"/>
            </w:pPr>
            <w:r>
              <w:rPr>
                <w:b/>
                <w:bCs/>
                <w:sz w:val="17"/>
                <w:szCs w:val="17"/>
              </w:rPr>
              <w:t xml:space="preserve">Kernfrage (fester Wortlaut, Entwurf)</w:t>
            </w:r>
          </w:p>
        </w:tc>
        <w:tc>
          <w:tcPr>
            <w:tcW w:type="dxa" w:w="1900"/>
            <w:tcBorders>
              <w:top w:val="single" w:color="999999" w:sz="4"/>
              <w:left w:val="single" w:color="999999" w:sz="4"/>
              <w:bottom w:val="single" w:color="999999" w:sz="4"/>
              <w:right w:val="single" w:color="999999" w:sz="4"/>
            </w:tcBorders>
            <w:shd w:fill="D9E2EC" w:color="auto" w:val="clear"/>
            <w:tcMar>
              <w:top w:type="dxa" w:w="50"/>
              <w:left w:type="dxa" w:w="80"/>
              <w:bottom w:type="dxa" w:w="50"/>
              <w:right w:type="dxa" w:w="80"/>
            </w:tcMar>
          </w:tcPr>
          <w:p>
            <w:pPr>
              <w:spacing w:after="40"/>
            </w:pPr>
            <w:r>
              <w:rPr>
                <w:b/>
                <w:bCs/>
                <w:sz w:val="17"/>
                <w:szCs w:val="17"/>
              </w:rPr>
              <w:t xml:space="preserve">Funktion / Bezug zu EI</w:t>
            </w:r>
          </w:p>
        </w:tc>
        <w:tc>
          <w:tcPr>
            <w:tcW w:type="dxa" w:w="2100"/>
            <w:tcBorders>
              <w:top w:val="single" w:color="999999" w:sz="4"/>
              <w:left w:val="single" w:color="999999" w:sz="4"/>
              <w:bottom w:val="single" w:color="999999" w:sz="4"/>
              <w:right w:val="single" w:color="999999" w:sz="4"/>
            </w:tcBorders>
            <w:shd w:fill="D9E2EC" w:color="auto" w:val="clear"/>
            <w:tcMar>
              <w:top w:type="dxa" w:w="50"/>
              <w:left w:type="dxa" w:w="80"/>
              <w:bottom w:type="dxa" w:w="50"/>
              <w:right w:type="dxa" w:w="80"/>
            </w:tcMar>
          </w:tcPr>
          <w:p>
            <w:pPr>
              <w:spacing w:after="40"/>
            </w:pPr>
            <w:r>
              <w:rPr>
                <w:b/>
                <w:bCs/>
                <w:sz w:val="17"/>
                <w:szCs w:val="17"/>
              </w:rPr>
              <w:t xml:space="preserve">Theoriebezug</w:t>
            </w:r>
          </w:p>
        </w:tc>
        <w:tc>
          <w:tcPr>
            <w:tcW w:type="dxa" w:w="1838"/>
            <w:tcBorders>
              <w:top w:val="single" w:color="999999" w:sz="4"/>
              <w:left w:val="single" w:color="999999" w:sz="4"/>
              <w:bottom w:val="single" w:color="999999" w:sz="4"/>
              <w:right w:val="single" w:color="999999" w:sz="4"/>
            </w:tcBorders>
            <w:shd w:fill="D9E2EC" w:color="auto" w:val="clear"/>
            <w:tcMar>
              <w:top w:type="dxa" w:w="50"/>
              <w:left w:type="dxa" w:w="80"/>
              <w:bottom w:type="dxa" w:w="50"/>
              <w:right w:type="dxa" w:w="80"/>
            </w:tcMar>
          </w:tcPr>
          <w:p>
            <w:pPr>
              <w:spacing w:after="40"/>
            </w:pPr>
            <w:r>
              <w:rPr>
                <w:b/>
                <w:bCs/>
                <w:sz w:val="17"/>
                <w:szCs w:val="17"/>
              </w:rPr>
              <w:t xml:space="preserve">Zulässige Nachfrage (höchstens eine)</w:t>
            </w:r>
          </w:p>
        </w:tc>
      </w:tr>
      <w:tr>
        <w:trPr>
          <w:cantSplit w:val="false"/>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7"/>
                <w:szCs w:val="17"/>
              </w:rPr>
              <w:t xml:space="preserve">R1</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7"/>
                <w:szCs w:val="17"/>
              </w:rPr>
              <w:t xml:space="preserve">„Erzähl bitte, wie du beim ersten Text, also ohne KI, vorgegangen bist. Was war dabei schwierig?“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7"/>
                <w:szCs w:val="17"/>
              </w:rPr>
              <w:t xml:space="preserve">Ausgangslage eigener Beschreibungsstrategien; Kontrast zu R2 (EI B)</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7"/>
                <w:szCs w:val="17"/>
              </w:rPr>
              <w:t xml:space="preserve">offener, erzählgenerierender Einstieg (Helfferich 2011)</w:t>
            </w:r>
          </w:p>
        </w:tc>
        <w:tc>
          <w:tcPr>
            <w:tcW w:type="dxa" w:w="18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7"/>
                <w:szCs w:val="17"/>
              </w:rPr>
              <w:t xml:space="preserve">„Kannst du das an einer Stelle genauer beschreiben?“</w:t>
            </w:r>
          </w:p>
        </w:tc>
      </w:tr>
      <w:tr>
        <w:trPr>
          <w:cantSplit w:val="false"/>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7"/>
                <w:szCs w:val="17"/>
              </w:rPr>
              <w:t xml:space="preserve">R2</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7"/>
                <w:szCs w:val="17"/>
              </w:rPr>
              <w:t xml:space="preserve">„Wie bist du dann mit der Ausgabe der KI umgegangen? Was hast du übernommen, verändert, gestrichen oder selbst ergänzt, und warum?“</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7"/>
                <w:szCs w:val="17"/>
              </w:rPr>
              <w:t xml:space="preserve">die vier Operationen aus EI A; Begründungen</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7"/>
                <w:szCs w:val="17"/>
              </w:rPr>
              <w:t xml:space="preserve">Reliance, Kategorie „negotiation“ (Sivaraman et al. 2023); Umgang/Remediation [Annahme]</w:t>
            </w:r>
          </w:p>
        </w:tc>
        <w:tc>
          <w:tcPr>
            <w:tcW w:type="dxa" w:w="18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7"/>
                <w:szCs w:val="17"/>
              </w:rPr>
              <w:t xml:space="preserve">„Warum hast du dich an dieser Stelle so entschieden?“</w:t>
            </w:r>
          </w:p>
        </w:tc>
      </w:tr>
      <w:tr>
        <w:trPr>
          <w:cantSplit w:val="false"/>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7"/>
                <w:szCs w:val="17"/>
              </w:rPr>
              <w:t xml:space="preserve">R3</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7"/>
                <w:szCs w:val="17"/>
              </w:rPr>
              <w:t xml:space="preserve">„Ist dir an der KI-Ausgabe etwas aufgefallen, das du so nicht schreiben wolltest?“</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7"/>
                <w:szCs w:val="17"/>
              </w:rPr>
              <w:t xml:space="preserve">Bemerken, ungestützt (EI A)</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7"/>
                <w:szCs w:val="17"/>
              </w:rPr>
              <w:t xml:space="preserve">Bemerken als erster Schritt des Everyday Auditing (Shen et al. 2021; DeVos et al. 2022)</w:t>
            </w:r>
          </w:p>
        </w:tc>
        <w:tc>
          <w:tcPr>
            <w:tcW w:type="dxa" w:w="18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7"/>
                <w:szCs w:val="17"/>
              </w:rPr>
              <w:t xml:space="preserve">„Was genau war das?“</w:t>
            </w:r>
          </w:p>
        </w:tc>
      </w:tr>
      <w:tr>
        <w:trPr>
          <w:cantSplit w:val="false"/>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7"/>
                <w:szCs w:val="17"/>
              </w:rPr>
              <w:t xml:space="preserve">R4</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7"/>
                <w:szCs w:val="17"/>
              </w:rPr>
              <w:t xml:space="preserve">„Was unterscheidet deine beiden Texte?“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7"/>
                <w:szCs w:val="17"/>
              </w:rPr>
              <w:t xml:space="preserve">wahrgenommener Unterschied (EI B)</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7"/>
                <w:szCs w:val="17"/>
              </w:rPr>
              <w:t xml:space="preserve">–</w:t>
            </w:r>
          </w:p>
        </w:tc>
        <w:tc>
          <w:tcPr>
            <w:tcW w:type="dxa" w:w="18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7"/>
                <w:szCs w:val="17"/>
              </w:rPr>
              <w:t xml:space="preserve">„Woran merkst du das?“</w:t>
            </w:r>
          </w:p>
        </w:tc>
      </w:tr>
      <w:tr>
        <w:trPr>
          <w:cantSplit w:val="false"/>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7"/>
                <w:szCs w:val="17"/>
              </w:rPr>
              <w:t xml:space="preserve">R5</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7"/>
                <w:szCs w:val="17"/>
              </w:rPr>
              <w:t xml:space="preserve">„Schau dir die KI-Ausgabe noch einmal an: Welche Angaben darin kann man am Bild selbst erkennen, und welche nicht?“</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7"/>
                <w:szCs w:val="17"/>
              </w:rPr>
              <w:t xml:space="preserve">Deutung, gestützt; Kernindikator „Zuschreibung ohne Bildbeleg“, ohne Ableismus-Vokabular</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7"/>
                <w:szCs w:val="17"/>
              </w:rPr>
              <w:t xml:space="preserve">Sensemaking (DeVos et al. 2022)</w:t>
            </w:r>
          </w:p>
        </w:tc>
        <w:tc>
          <w:tcPr>
            <w:tcW w:type="dxa" w:w="18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7"/>
                <w:szCs w:val="17"/>
              </w:rPr>
              <w:t xml:space="preserve">„Woran im Bild machst du das fest?“</w:t>
            </w:r>
          </w:p>
        </w:tc>
      </w:tr>
      <w:tr>
        <w:trPr>
          <w:cantSplit w:val="false"/>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7"/>
                <w:szCs w:val="17"/>
              </w:rPr>
              <w:t xml:space="preserve">R6</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7"/>
                <w:szCs w:val="17"/>
              </w:rPr>
              <w:t xml:space="preserve">„Was würdest du beim nächsten Mal anders machen?“</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7"/>
                <w:szCs w:val="17"/>
              </w:rPr>
              <w:t xml:space="preserve">Konsequenz; Brücke zu t2</w:t>
            </w:r>
          </w:p>
        </w:tc>
        <w:tc>
          <w:tcPr>
            <w:tcW w:type="dxa" w:w="2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7"/>
                <w:szCs w:val="17"/>
              </w:rPr>
              <w:t xml:space="preserve">Remediation [Annahme]</w:t>
            </w:r>
          </w:p>
        </w:tc>
        <w:tc>
          <w:tcPr>
            <w:tcW w:type="dxa" w:w="18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7"/>
                <w:szCs w:val="17"/>
              </w:rPr>
              <w:t xml:space="preserve">„Kannst du ein Beispiel nennen?“</w:t>
            </w:r>
          </w:p>
        </w:tc>
      </w:tr>
    </w:tbl>
    <w:p>
      <w:pPr>
        <w:spacing w:after="120"/>
      </w:pPr>
    </w:p>
    <w:p>
      <w:pPr>
        <w:pStyle w:val="Heading3"/>
      </w:pPr>
      <w:r>
        <w:t xml:space="preserve">3.3  Regeln für adaptive Nachfragen (für den System-Prompt)</w:t>
      </w:r>
    </w:p>
    <w:p>
      <w:pPr>
        <w:pStyle w:val="ListParagraph"/>
        <w:numPr>
          <w:ilvl w:val="0"/>
          <w:numId w:val="3"/>
        </w:numPr>
        <w:spacing w:after="80"/>
      </w:pPr>
      <w:r>
        <w:t xml:space="preserve">Kernfragen </w:t>
      </w:r>
      <w:r>
        <w:rPr>
          <w:b/>
          <w:bCs/>
        </w:rPr>
        <w:t xml:space="preserve">wörtlich und in fester Reihenfolge</w:t>
      </w:r>
      <w:r>
        <w:t xml:space="preserve"> stellen, einzeln, nichts überspringen.</w:t>
      </w:r>
    </w:p>
    <w:p>
      <w:pPr>
        <w:pStyle w:val="ListParagraph"/>
        <w:numPr>
          <w:ilvl w:val="0"/>
          <w:numId w:val="3"/>
        </w:numPr>
        <w:spacing w:after="80"/>
      </w:pPr>
      <w:r>
        <w:rPr>
          <w:b/>
          <w:bCs/>
        </w:rPr>
        <w:t xml:space="preserve">Höchstens eine Nachfrage je Kernfrage</w:t>
      </w:r>
      <w:r>
        <w:t xml:space="preserve">, nur bei sehr kurzer oder unklarer Antwort. Erlaubt sind nur die Nachfragen aus der Tabelle oder die neutralen Formen „Kannst du das genauer beschreiben?“, „An welcher Stelle?“, „Warum?“.</w:t>
      </w:r>
    </w:p>
    <w:p>
      <w:pPr>
        <w:pStyle w:val="ListParagraph"/>
        <w:numPr>
          <w:ilvl w:val="0"/>
          <w:numId w:val="3"/>
        </w:numPr>
        <w:spacing w:after="80"/>
      </w:pPr>
      <w:r>
        <w:t xml:space="preserve">Keine Bewertung, kein Lob, keine Korrektur, keine eigene Meinung, keine Information über das Bild oder die KI-Ausgabe, keine Zusammenfassung.</w:t>
      </w:r>
    </w:p>
    <w:p>
      <w:pPr>
        <w:pStyle w:val="ListParagraph"/>
        <w:numPr>
          <w:ilvl w:val="0"/>
          <w:numId w:val="3"/>
        </w:numPr>
        <w:spacing w:after="80"/>
      </w:pPr>
      <w:r>
        <w:rPr>
          <w:b/>
          <w:bCs/>
        </w:rPr>
        <w:t xml:space="preserve">Keine Begriffe einführen, die die Person nicht selbst verwendet hat</w:t>
      </w:r>
      <w:r>
        <w:t xml:space="preserve">, insbesondere Behinderung, Ableismus, Bias, Stereotyp, Diskriminierung. Verwendet die Person einen solchen Begriff, darf die Nachfrage ihn aufgreifen.</w:t>
      </w:r>
    </w:p>
    <w:p>
      <w:pPr>
        <w:pStyle w:val="ListParagraph"/>
        <w:numPr>
          <w:ilvl w:val="0"/>
          <w:numId w:val="3"/>
        </w:numPr>
        <w:spacing w:after="80"/>
      </w:pPr>
      <w:r>
        <w:t xml:space="preserve">Keine Suggestiv- und Ja/Nein-Fragen; keine Stellvertreterfragen („Was hätte die abgebildete Person gewollt?“).</w:t>
      </w:r>
    </w:p>
    <w:p>
      <w:pPr>
        <w:pStyle w:val="ListParagraph"/>
        <w:numPr>
          <w:ilvl w:val="0"/>
          <w:numId w:val="3"/>
        </w:numPr>
        <w:spacing w:after="80"/>
      </w:pPr>
      <w:r>
        <w:rPr>
          <w:b/>
          <w:bCs/>
        </w:rPr>
        <w:t xml:space="preserve">Eigene Behinderungs-, Krankheits- oder Diskriminierungserfahrung:</w:t>
      </w:r>
      <w:r>
        <w:t xml:space="preserve"> nicht nachfragen, nicht kommentieren, nicht zusammenfassen; mit „Danke.“ zur nächsten Kernfrage.</w:t>
      </w:r>
    </w:p>
    <w:p>
      <w:pPr>
        <w:pStyle w:val="ListParagraph"/>
        <w:numPr>
          <w:ilvl w:val="0"/>
          <w:numId w:val="3"/>
        </w:numPr>
        <w:spacing w:after="80"/>
      </w:pPr>
      <w:r>
        <w:t xml:space="preserve">„Weiß nicht“ oder Antwortverweigerung akzeptieren und weitergehen.</w:t>
      </w:r>
    </w:p>
    <w:p>
      <w:pPr>
        <w:pStyle w:val="ListParagraph"/>
        <w:numPr>
          <w:ilvl w:val="0"/>
          <w:numId w:val="3"/>
        </w:numPr>
        <w:spacing w:after="80"/>
      </w:pPr>
      <w:r>
        <w:t xml:space="preserve">Bittet die Person um inhaltliche Hilfe: „Darauf gehe ich in diesem Gespräch nicht ein.“</w:t>
      </w:r>
    </w:p>
    <w:p>
      <w:pPr>
        <w:pStyle w:val="ListParagraph"/>
        <w:numPr>
          <w:ilvl w:val="0"/>
          <w:numId w:val="3"/>
        </w:numPr>
        <w:spacing w:after="80"/>
      </w:pPr>
      <w:r>
        <w:t xml:space="preserve">Möchte die Person abbrechen oder wirkt sie belastet: Gespräch beenden, Abschlusssatz mit Kontakthinweis (Stelle noch festzulegen, s. Teil 5).</w:t>
      </w:r>
    </w:p>
    <w:p>
      <w:pPr>
        <w:pStyle w:val="ListParagraph"/>
        <w:numPr>
          <w:ilvl w:val="0"/>
          <w:numId w:val="3"/>
        </w:numPr>
        <w:spacing w:after="80"/>
      </w:pPr>
      <w:r>
        <w:t xml:space="preserve">Für t1 und t2 denselben Prompt verwenden. Promptversion, Modellversion und, falls einstellbar, Temperatur je Termin dokumentieren.</w:t>
      </w:r>
    </w:p>
    <w:p>
      <w:pPr>
        <w:pStyle w:val="Heading3"/>
      </w:pPr>
      <w:r>
        <w:t xml:space="preserve">3.4  Entwurf System-Prompt (im Pretest prüfen)</w:t>
      </w:r>
    </w:p>
    <w:p>
      <w:pPr>
        <w:spacing w:after="120"/>
      </w:pPr>
      <w:r>
        <w:rPr>
          <w:i/>
          <w:iCs/>
        </w:rPr>
        <w:t xml:space="preserve">Du führst ein kurzes Reflexionsgespräch mit einer studierenden Person. Sie hat gerade zwei Bildbeschreibungen verfasst: zuerst ohne KI, dann mit KI-Unterstützung. Ziel ist, ihr Vorgehen in ihren eigenen Worten zu erfahren. Du bewertest nichts. Beginne mit: „Danke für deine Texte. Ich stelle dir jetzt sechs kurze Fragen zu deinem Vorgehen. Es gibt keine richtigen oder falschen Antworten. Bitte nenne keine Namen oder anderen persönlichen Angaben.“ Stelle dann die Kernfragen R1–R6 wörtlich und in dieser Reihenfolge, jeweils einzeln, und warte jede Antwort ab. [Regeln 2–9 aus 3.3 einfügen.] Schließe mit: „Danke, das war die letzte Frage. Du kannst jetzt mit dem Fragebogen weitermachen.“</w:t>
      </w:r>
    </w:p>
    <w:p>
      <w:pPr>
        <w:spacing w:after="120"/>
      </w:pPr>
      <w:r>
        <w:t xml:space="preserve">[Interpretation] Eine Verbotsliste mit Begriffen kann bei Sprachmodellen gerade diese Begriffe aktivieren. Deshalb im Pretest gezielt prüfen, ob der Interviewer sie dennoch einführt.</w:t>
      </w:r>
    </w:p>
    <w:p>
      <w:pPr>
        <w:pStyle w:val="Heading3"/>
      </w:pPr>
      <w:r>
        <w:t xml:space="preserve">3.5  Fehlender Eskalationsweg</w:t>
      </w:r>
    </w:p>
    <w:p>
      <w:pPr>
        <w:spacing w:after="120"/>
      </w:pPr>
      <w:r>
        <w:t xml:space="preserve">Das Interview hat keinen Eskalationsweg für belastende Verläufe. [Empfehlung] Den Abschlusssatz um einen festen Kontakthinweis ergänzen (Dozent oder eine Beratungsstelle der HU; konkrete Stelle nicht recherchiert). Im Einwilligungsteil darauf hinweisen, dass das Gespräch mit einer KI geführt wird, dass ein Abbruch jederzeit folgenlos möglich ist und an wen man sich wenden kann.</w:t>
      </w:r>
    </w:p>
    <w:p>
      <w:pPr>
        <w:pStyle w:val="Heading1"/>
      </w:pPr>
      <w:r>
        <w:t xml:space="preserve">4  Auswertungsgrenzen (Textbausteine für den Methodenteil)</w:t>
      </w:r>
    </w:p>
    <w:p>
      <w:pPr>
        <w:spacing w:after="120"/>
      </w:pPr>
      <w:r>
        <w:rPr>
          <w:i/>
          <w:iCs/>
        </w:rPr>
        <w:t xml:space="preserve">Formuliert als Methodentext; Kennzeichnungen in eckigen Klammern vor der Übernahme entfernen.</w:t>
      </w:r>
    </w:p>
    <w:p>
      <w:pPr>
        <w:spacing w:after="120"/>
      </w:pPr>
      <w:r>
        <w:rPr>
          <w:b/>
          <w:bCs/>
        </w:rPr>
        <w:t xml:space="preserve">Stichprobe und Vergleiche.</w:t>
      </w:r>
      <w:r>
        <w:t xml:space="preserve"> Mit n ≈ 60 in vier Zuteilungsgruppen zu je etwa 15 Personen sind inferenzstatistische Subgruppenvergleiche nicht vorgesehen. Soziodemografische Angaben dienen ausschließlich der Stichprobenbeschreibung und werden nur aggregiert berichtet; Zellen mit weniger als fünf Personen werden zusammengefasst oder nicht berichtet.</w:t>
      </w:r>
    </w:p>
    <w:p>
      <w:pPr>
        <w:spacing w:after="120"/>
      </w:pPr>
      <w:r>
        <w:rPr>
          <w:b/>
          <w:bCs/>
        </w:rPr>
        <w:t xml:space="preserve">Bedingungsvergleich (EI B).</w:t>
      </w:r>
      <w:r>
        <w:t xml:space="preserve"> Die Reihenfolge „ohne KI → mit KI“ ist fest. Übungs- und Ermüdungseffekte sind deshalb mit der Bedingung konfundiert. Zudem beschreibt jede Person in beiden Bedingungen verschiedene Bilder; die Rotation über vier Gruppen gleicht Bildeffekte nur auf Gruppenebene aus. Der Vergleich der Texte mit und ohne KI ist daher deskriptiv und erlaubt keine Aussage über Wirkungen der KI-Nutzung.</w:t>
      </w:r>
    </w:p>
    <w:p>
      <w:pPr>
        <w:spacing w:after="120"/>
      </w:pPr>
      <w:r>
        <w:rPr>
          <w:b/>
          <w:bCs/>
        </w:rPr>
        <w:t xml:space="preserve">Reaktivität der Erhebung.</w:t>
      </w:r>
      <w:r>
        <w:t xml:space="preserve"> Ab dem zweiten Bild ist Priming durch die erste Aufgabe möglich (keine Distraktoren). Konfidenzurteile sind reaktiv (Double &amp; Birney, 2019). Die Konfidenz zum ersten Text wird deshalb erst nach dem zweiten Text erhoben; sie ist rückblickend und kann durch den Kontakt mit der KI-Ausgabe beeinflusst sein. Da die Qualität der Bildbeschreibungen nicht kodiert wird, sind die Konfidenzangaben Selbsteinschätzungen und keine Kalibrierungsmaße.</w:t>
      </w:r>
    </w:p>
    <w:p>
      <w:pPr>
        <w:spacing w:after="120"/>
      </w:pPr>
      <w:r>
        <w:rPr>
          <w:b/>
          <w:bCs/>
        </w:rPr>
        <w:t xml:space="preserve">Wahrgenommener und kodierter Einfluss.</w:t>
      </w:r>
      <w:r>
        <w:t xml:space="preserve"> Die Einschätzung des KI-Anteils ist eine Ein-Item-Selbstauskunft. Der kodierte Einfluss ist seinerseits eine Operationalisierung (Rohausgabe ↔ Endfassung; Einfüge-Events), deren Regeln vor der ersten Erhebung festgelegt wurden. Abweichungen zwischen beiden sind daher keine Abweichung von einem „wahren“ Wert, sondern zwischen zwei Messungen.</w:t>
      </w:r>
    </w:p>
    <w:p>
      <w:pPr>
        <w:spacing w:after="120"/>
      </w:pPr>
      <w:r>
        <w:rPr>
          <w:b/>
          <w:bCs/>
        </w:rPr>
        <w:t xml:space="preserve">Das Reflexionsinterview als Intervention.</w:t>
      </w:r>
      <w:r>
        <w:t xml:space="preserve"> Kurze Reflexionsanlässe verändern die Selbsteinschätzung des eigenen KI-Gebrauchs (Ren, 2026). Selbstauskünfte zu Konfidenz und KI-Anteil werden deshalb vor dem Interview erhoben. Das Interview wirkt zudem auf t2, insbesondere die gestützte Frage nach dem Bildbeleg und die Frage nach dem künftigen Vorgehen. Zwischen t1 und t2 erarbeiten die Studierenden außerdem den Kriterienkatalog mit. Die Differenz zwischen t1 und t2 ist damit designbedingt und kein Befund über die Wirkung des Seminars.</w:t>
      </w:r>
    </w:p>
    <w:p>
      <w:pPr>
        <w:spacing w:after="120"/>
      </w:pPr>
      <w:r>
        <w:rPr>
          <w:b/>
          <w:bCs/>
        </w:rPr>
        <w:t xml:space="preserve">Rückblickende Selbstauskünfte.</w:t>
      </w:r>
      <w:r>
        <w:t xml:space="preserve"> Aussagen über das eigene Vorgehen sind nur eingeschränkt valide (Russo, Johnson &amp; Stephens, 1989). Interviewaussagen werden deshalb mit den Prozessdaten (Prompts, Einfüge-Events, Rohausgaben) trianguliert und nicht als Abbild des Prozesses gelesen.</w:t>
      </w:r>
    </w:p>
    <w:p>
      <w:pPr>
        <w:spacing w:after="120"/>
      </w:pPr>
      <w:r>
        <w:rPr>
          <w:b/>
          <w:bCs/>
        </w:rPr>
        <w:t xml:space="preserve">KI-Interviewer.</w:t>
      </w:r>
      <w:r>
        <w:t xml:space="preserve"> Das Interview ist nicht standardisiert: Nachfragen werden adaptiv erzeugt, und dasselbe Modell, das die Rohausgaben erzeugt hat, führt das Interview. System-Prompt, Promptversion und Modellversion je Termin werden dokumentiert und veröffentlicht. Modellaktualisierungen zwischen t1 und t2 können Unterschiede der Rohausgaben erklären.</w:t>
      </w:r>
    </w:p>
    <w:p>
      <w:pPr>
        <w:spacing w:after="120"/>
      </w:pPr>
      <w:r>
        <w:rPr>
          <w:b/>
          <w:bCs/>
        </w:rPr>
        <w:t xml:space="preserve">Selbstauskunft und Kompetenz.</w:t>
      </w:r>
      <w:r>
        <w:t xml:space="preserve"> Die Bias-Items erfassen eine Selbstauskunft. Sie sind nicht validiert und wurden aus einem anderen Kontext übersetzt und adaptiert (Ribes-Lafoz et al., 2026). Selbstauskünfte sind nicht mit der Fähigkeit gleichzusetzen, konkrete Muster zu erkennen (vgl. Hornberger et al., 2023).</w:t>
      </w:r>
    </w:p>
    <w:p>
      <w:pPr>
        <w:spacing w:after="120"/>
      </w:pPr>
      <w:r>
        <w:rPr>
          <w:b/>
          <w:bCs/>
        </w:rPr>
        <w:t xml:space="preserve">Normativer Rahmen der Kodierung.</w:t>
      </w:r>
      <w:r>
        <w:t xml:space="preserve"> Urteile darüber, was ableistisch ist, sind heterogen; einen Goldstandard gibt es nicht. Die Regelbereiche A–H der Aktion Mensch (2025) sowie die Tropen nach Mack et al. (2024) und die Annotationsfragen nach Gadiraju et al. (2023) dienen als Beschreibungsheuristik, nicht als Gütemaßstab.</w:t>
      </w:r>
    </w:p>
    <w:p>
      <w:pPr>
        <w:spacing w:after="120"/>
      </w:pPr>
      <w:r>
        <w:rPr>
          <w:b/>
          <w:bCs/>
        </w:rPr>
        <w:t xml:space="preserve">Rolle des Forschenden.</w:t>
      </w:r>
      <w:r>
        <w:t xml:space="preserve"> Der Erhebende ist zugleich Dozent der Teilnehmenden. Freiwilligkeit ist dadurch eingeschränkt, und sozial erwünschtes Antworten ist wahrscheinlich, besonders im Interview. [Hier die Gegenmaßnahmen nennen, z. B. Einwilligung zur Forschungsnutzung nach der Notenvergabe durch eine nicht lehrende Person, Zuordnungsschlüssel bei Dritten.]</w:t>
      </w:r>
    </w:p>
    <w:p>
      <w:pPr>
        <w:spacing w:after="120"/>
      </w:pPr>
      <w:r>
        <w:rPr>
          <w:b/>
          <w:bCs/>
        </w:rPr>
        <w:t xml:space="preserve">Nicht erhobene Merkmale.</w:t>
      </w:r>
      <w:r>
        <w:t xml:space="preserve"> Eigene Erfahrungen mit Behinderung oder Diskriminierung wurden nicht erhoben. Nach DeVos et al. (2022) prägen solche Erfahrungen, wie Nutzende problematisches Systemverhalten suchen und deuten. Unterschiede im Umgang mit den KI-Ausgaben können daher auf Erfahrungen zurückgehen, die die Studie nicht abbildet. [Nur bei Variante A.]</w:t>
      </w:r>
    </w:p>
    <w:p>
      <w:pPr>
        <w:pStyle w:val="Heading1"/>
      </w:pPr>
      <w:r>
        <w:t xml:space="preserve">5  Offene Entscheidungen</w:t>
      </w:r>
    </w:p>
    <w:p>
      <w:pPr>
        <w:spacing w:after="120"/>
      </w:pPr>
      <w:r>
        <w:t xml:space="preserve">Geordnet nach Dringlichkeit für t1 (22.10.2026, in 13 Tagen). Jeweils mit meiner Empfehlung.</w:t>
      </w:r>
    </w:p>
    <w:p>
      <w:pPr>
        <w:pStyle w:val="ListParagraph"/>
        <w:numPr>
          <w:ilvl w:val="0"/>
          <w:numId w:val="4"/>
        </w:numPr>
        <w:spacing w:after="80"/>
      </w:pPr>
      <w:r>
        <w:rPr>
          <w:b/>
          <w:bCs/>
        </w:rPr>
        <w:t xml:space="preserve">Setzung „kein Score auf Personenebene“ präzisieren.</w:t>
      </w:r>
      <w:r>
        <w:t xml:space="preserve"> Fallen darunter auch Skalenmittelwerte (V8, V9) und textbezogene Kennwerte (Differenz wahrgenommen ↔ kodiert, Konfidenz)? [Empfehlung] Präzisieren als „kein bewertender Score über Personen; textbezogene Kennwerte zulässig, nur aggregiert berichtet“.</w:t>
      </w:r>
    </w:p>
    <w:p>
      <w:pPr>
        <w:pStyle w:val="ListParagraph"/>
        <w:numPr>
          <w:ilvl w:val="0"/>
          <w:numId w:val="4"/>
        </w:numPr>
        <w:spacing w:after="80"/>
      </w:pPr>
      <w:r>
        <w:rPr>
          <w:b/>
          <w:bCs/>
        </w:rPr>
        <w:t xml:space="preserve">Behinderungs- oder Diskriminierungsitem:</w:t>
      </w:r>
      <w:r>
        <w:t xml:space="preserve"> A, B oder C (Teil 1b). [Empfehlung] A.</w:t>
      </w:r>
    </w:p>
    <w:p>
      <w:pPr>
        <w:pStyle w:val="ListParagraph"/>
        <w:numPr>
          <w:ilvl w:val="0"/>
          <w:numId w:val="4"/>
        </w:numPr>
        <w:spacing w:after="80"/>
      </w:pPr>
      <w:r>
        <w:rPr>
          <w:b/>
          <w:bCs/>
        </w:rPr>
        <w:t xml:space="preserve">Ethikvotum und Zeitplan.</w:t>
      </w:r>
      <w:r>
        <w:t xml:space="preserve"> Ein Votum vor dem 22.10. ist bei üblichen Bearbeitungszeiten kaum erreichbar (ungeprüft). Optionen: Lehrerhebung jetzt, Forschungsnutzung erst mit Votum und nachträglicher Einwilligung (Logik der Erhebungskarte), oder t1 verschieben. Zuständige Kommission und deren Ordnung prüfen.</w:t>
      </w:r>
    </w:p>
    <w:p>
      <w:pPr>
        <w:pStyle w:val="ListParagraph"/>
        <w:numPr>
          <w:ilvl w:val="0"/>
          <w:numId w:val="4"/>
        </w:numPr>
        <w:spacing w:after="80"/>
      </w:pPr>
      <w:r>
        <w:rPr>
          <w:b/>
          <w:bCs/>
        </w:rPr>
        <w:t xml:space="preserve">Datenverarbeitung in reason8:</w:t>
      </w:r>
      <w:r>
        <w:t xml:space="preserve"> Auftragsverarbeitung, Modellanbieter, Serverstandort, Löschfristen; Inhalt des Einwilligungstexts zu Interview- und Prompt-Eingaben. HU-Datenschutz einbinden.</w:t>
      </w:r>
    </w:p>
    <w:p>
      <w:pPr>
        <w:pStyle w:val="ListParagraph"/>
        <w:numPr>
          <w:ilvl w:val="0"/>
          <w:numId w:val="4"/>
        </w:numPr>
        <w:spacing w:after="80"/>
      </w:pPr>
      <w:r>
        <w:rPr>
          <w:b/>
          <w:bCs/>
        </w:rPr>
        <w:t xml:space="preserve">Zielbilder A–D:</w:t>
      </w:r>
      <w:r>
        <w:t xml:space="preserve"> Zeigen sie identifizierbare reale Personen? Falls ja: Bildrechte und Übermittlung an den Modellanbieter klären (T2.3).</w:t>
      </w:r>
    </w:p>
    <w:p>
      <w:pPr>
        <w:pStyle w:val="ListParagraph"/>
        <w:numPr>
          <w:ilvl w:val="0"/>
          <w:numId w:val="4"/>
        </w:numPr>
        <w:spacing w:after="80"/>
      </w:pPr>
      <w:r>
        <w:rPr>
          <w:b/>
          <w:bCs/>
        </w:rPr>
        <w:t xml:space="preserve">Konfidenz Text 1:</w:t>
      </w:r>
      <w:r>
        <w:t xml:space="preserve"> sofort, rückblickend in N1 oder streichen. [Empfehlung] rückblickend in N1.</w:t>
      </w:r>
    </w:p>
    <w:p>
      <w:pPr>
        <w:pStyle w:val="ListParagraph"/>
        <w:numPr>
          <w:ilvl w:val="0"/>
          <w:numId w:val="4"/>
        </w:numPr>
        <w:spacing w:after="80"/>
      </w:pPr>
      <w:r>
        <w:rPr>
          <w:b/>
          <w:bCs/>
        </w:rPr>
        <w:t xml:space="preserve">Position der Kenntnisfragen zu Alt-Text und Screenreader:</w:t>
      </w:r>
      <w:r>
        <w:t xml:space="preserve"> hängt von der Aufgabeninstruktion ab (Teil 2.1). [Empfehlung] Ende t1, falls die Instruktion neutral ist.</w:t>
      </w:r>
    </w:p>
    <w:p>
      <w:pPr>
        <w:pStyle w:val="ListParagraph"/>
        <w:numPr>
          <w:ilvl w:val="0"/>
          <w:numId w:val="4"/>
        </w:numPr>
        <w:spacing w:after="80"/>
      </w:pPr>
      <w:r>
        <w:rPr>
          <w:b/>
          <w:bCs/>
        </w:rPr>
        <w:t xml:space="preserve">V8 Vertrauen, V9 KI-Literacy.</w:t>
      </w:r>
      <w:r>
        <w:t xml:space="preserve"> [Empfehlung] beide weglassen.</w:t>
      </w:r>
    </w:p>
    <w:p>
      <w:pPr>
        <w:pStyle w:val="ListParagraph"/>
        <w:numPr>
          <w:ilvl w:val="0"/>
          <w:numId w:val="4"/>
        </w:numPr>
        <w:spacing w:after="80"/>
      </w:pPr>
      <w:r>
        <w:rPr>
          <w:b/>
          <w:bCs/>
        </w:rPr>
        <w:t xml:space="preserve">N1.2 KI-Anteil:</w:t>
      </w:r>
      <w:r>
        <w:t xml:space="preserve"> ein oder zwei Items (wörtlich/inhaltlich)? Den kodierten Einfluss vor t1 parallel definieren. [Empfehlung] zwei Items.</w:t>
      </w:r>
    </w:p>
    <w:p>
      <w:pPr>
        <w:pStyle w:val="ListParagraph"/>
        <w:numPr>
          <w:ilvl w:val="0"/>
          <w:numId w:val="4"/>
        </w:numPr>
        <w:spacing w:after="80"/>
      </w:pPr>
      <w:r>
        <w:rPr>
          <w:b/>
          <w:bCs/>
        </w:rPr>
        <w:t xml:space="preserve">Interviewdauer und Fragenzahl:</w:t>
      </w:r>
      <w:r>
        <w:t xml:space="preserve"> etwa 2 min für 6 Fragen ist zu knapp. [Empfehlung] 6–8 min einplanen oder auf 4 Fragen kürzen (Kandidaten zum Streichen: R4, R6). Im Pretest messen.</w:t>
      </w:r>
    </w:p>
    <w:p>
      <w:pPr>
        <w:pStyle w:val="ListParagraph"/>
        <w:numPr>
          <w:ilvl w:val="0"/>
          <w:numId w:val="4"/>
        </w:numPr>
        <w:spacing w:after="80"/>
      </w:pPr>
      <w:r>
        <w:rPr>
          <w:b/>
          <w:bCs/>
        </w:rPr>
        <w:t xml:space="preserve">Technische Prüfungen in reason8:</w:t>
      </w:r>
      <w:r>
        <w:t xml:space="preserve"> Sind Bild und Rohausgabe im Interview sichtbar (Voraussetzung für R5)? Ist die Zufriedenheitsfrage abschaltbar? Sind Modellversion und Temperatur fixierbar? Hält sich der Interviewer an wörtliche Kernfragen?</w:t>
      </w:r>
    </w:p>
    <w:p>
      <w:pPr>
        <w:pStyle w:val="ListParagraph"/>
        <w:numPr>
          <w:ilvl w:val="0"/>
          <w:numId w:val="4"/>
        </w:numPr>
        <w:spacing w:after="80"/>
      </w:pPr>
      <w:r>
        <w:rPr>
          <w:b/>
          <w:bCs/>
        </w:rPr>
        <w:t xml:space="preserve">Bias-Items N2.3:</w:t>
      </w:r>
      <w:r>
        <w:t xml:space="preserve"> Funktion präzisieren (wozu genau?) oder streichen; Originalwortlaut und Ausgangssprache am Volltext beschaffen.</w:t>
      </w:r>
    </w:p>
    <w:p>
      <w:pPr>
        <w:pStyle w:val="ListParagraph"/>
        <w:numPr>
          <w:ilvl w:val="0"/>
          <w:numId w:val="4"/>
        </w:numPr>
        <w:spacing w:after="80"/>
      </w:pPr>
      <w:r>
        <w:rPr>
          <w:b/>
          <w:bCs/>
        </w:rPr>
        <w:t xml:space="preserve">Geschlecht (V2):</w:t>
      </w:r>
      <w:r>
        <w:t xml:space="preserve"> Die Entscheidung vom 09.10. steht. Vor der Freigabe noch einmal gegen die Datensparsamkeit abwägen, weil das Item keine analytische Funktion hat.</w:t>
      </w:r>
    </w:p>
    <w:p>
      <w:pPr>
        <w:pStyle w:val="ListParagraph"/>
        <w:numPr>
          <w:ilvl w:val="0"/>
          <w:numId w:val="4"/>
        </w:numPr>
        <w:spacing w:after="80"/>
      </w:pPr>
      <w:r>
        <w:rPr>
          <w:b/>
          <w:bCs/>
        </w:rPr>
        <w:t xml:space="preserve">Kontakthinweis für belastende Verläufe</w:t>
      </w:r>
      <w:r>
        <w:t xml:space="preserve"> festlegen (Teil 3.5).</w:t>
      </w:r>
    </w:p>
    <w:p>
      <w:pPr>
        <w:pStyle w:val="ListParagraph"/>
        <w:numPr>
          <w:ilvl w:val="0"/>
          <w:numId w:val="4"/>
        </w:numPr>
        <w:spacing w:after="80"/>
      </w:pPr>
      <w:r>
        <w:rPr>
          <w:b/>
          <w:bCs/>
        </w:rPr>
        <w:t xml:space="preserve">Vorregistrierung:</w:t>
      </w:r>
      <w:r>
        <w:t xml:space="preserve"> Umfang bis zum 22.10. realistisch festlegen (mindestens Kodierregeln für den kodierten Einfluss und den Kernindikator).</w:t>
      </w:r>
    </w:p>
    <w:p>
      <w:pPr>
        <w:pStyle w:val="Heading1"/>
      </w:pPr>
      <w:r>
        <w:t xml:space="preserve">6  Qualitätssicherung (Empfehlungen)</w:t>
      </w:r>
    </w:p>
    <w:p>
      <w:pPr>
        <w:pStyle w:val="ListParagraph"/>
        <w:numPr>
          <w:ilvl w:val="0"/>
          <w:numId w:val="5"/>
        </w:numPr>
        <w:spacing w:after="60"/>
      </w:pPr>
      <w:r>
        <w:rPr>
          <w:b/>
          <w:bCs/>
        </w:rPr>
        <w:t xml:space="preserve">Kognitives Pretesting</w:t>
      </w:r>
      <w:r>
        <w:t xml:space="preserve"> der Fragebogenitems und des Interviewablaufs mit 3–5 Personen außerhalb der Kurse, inklusive Zeitmessung. Grundlage: GESIS Survey Guidelines „Kognitives Pretesting“ (Lenzner, Neuert &amp; Otto; laut Websuche Version 1.1 von 2015, DOI 10.15465/gesis-sg_010; überarbeitete englische Fassung Lenzner, Hadler &amp; Neuert 2024, DOI 10.15465/gesis-sg_en_049). Beide DOIs sind bei DataCite registriert, nicht bei Crossref; das erklärt den Fehlschlag im Vorchat. Nicht aufgelöst; die Angabe „2016“ ist zu prüfen. Die Fallzahl 3–5 ist pragmatisch und nicht aus der Guideline belegt.</w:t>
      </w:r>
    </w:p>
    <w:p>
      <w:pPr>
        <w:pStyle w:val="ListParagraph"/>
        <w:numPr>
          <w:ilvl w:val="0"/>
          <w:numId w:val="5"/>
        </w:numPr>
        <w:spacing w:after="60"/>
      </w:pPr>
      <w:r>
        <w:rPr>
          <w:b/>
          <w:bCs/>
        </w:rPr>
        <w:t xml:space="preserve">Pretest des KI-Interviewers:</w:t>
      </w:r>
      <w:r>
        <w:t xml:space="preserve"> fünf bis zehn simulierte Gespräche mit provozierenden Antworten (Selbstoffenbarung, Bitte um Hilfe, Einwortantworten, eigene Verwendung von „behindert“). Protokollieren, ob die Regeln aus 3.3 eingehalten werden.</w:t>
      </w:r>
    </w:p>
    <w:p>
      <w:pPr>
        <w:pStyle w:val="ListParagraph"/>
        <w:numPr>
          <w:ilvl w:val="0"/>
          <w:numId w:val="5"/>
        </w:numPr>
        <w:spacing w:after="60"/>
      </w:pPr>
      <w:r>
        <w:rPr>
          <w:b/>
          <w:bCs/>
        </w:rPr>
        <w:t xml:space="preserve">Vorregistrierung</w:t>
      </w:r>
      <w:r>
        <w:t xml:space="preserve"> des Auswertungsplans vor dem 22.10., z. B. bei OSF. Haven &amp; Van Grootel (2019 ✓) begründen, dass sich auch qualitative Forschung präregistrieren lässt.</w:t>
      </w:r>
    </w:p>
    <w:p>
      <w:pPr>
        <w:pStyle w:val="ListParagraph"/>
        <w:numPr>
          <w:ilvl w:val="0"/>
          <w:numId w:val="5"/>
        </w:numPr>
        <w:spacing w:after="60"/>
      </w:pPr>
      <w:r>
        <w:rPr>
          <w:b/>
          <w:bCs/>
        </w:rPr>
        <w:t xml:space="preserve">Veröffentlichung</w:t>
      </w:r>
      <w:r>
        <w:t xml:space="preserve"> der Begründungstabelle, des System-Prompts und der Instruktionen als Anhang der Publikation.</w:t>
      </w:r>
    </w:p>
    <w:p>
      <w:pPr>
        <w:sectPr>
          <w:footerReference w:type="default" r:id="rId9"/>
          <w:pgSz w:w="11906" w:h="16838" w:orient="portrait"/>
          <w:pgMar w:top="1134" w:right="1134" w:bottom="1134" w:left="1134" w:header="708" w:footer="708" w:gutter="0"/>
          <w:pgNumType/>
          <w:docGrid w:linePitch="360"/>
        </w:sectPr>
      </w:pPr>
    </w:p>
    <w:p>
      <w:pPr>
        <w:pStyle w:val="Heading1"/>
      </w:pPr>
      <w:r>
        <w:t xml:space="preserve">Anhang A  Prüfprotokoll Quellen</w:t>
      </w:r>
    </w:p>
    <w:p>
      <w:pPr>
        <w:spacing w:after="120"/>
      </w:pPr>
      <w:r>
        <w:t xml:space="preserve">Prüfung am 09.10.2026. „✓“ unter Crossref heißt: DOI registriert, Autor*innen, Titel, Venue und Jahr stimmen. Unter Abstract heißt „✓“: Abstract gelesen. „–“ heißt: nicht benötigt bzw. nicht abgerufen. Volltexte wurden nicht eingesehen.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600"/>
        <w:gridCol w:w="3100"/>
        <w:gridCol w:w="1100"/>
        <w:gridCol w:w="1300"/>
        <w:gridCol w:w="5298"/>
      </w:tblGrid>
      <w:tr>
        <w:trPr>
          <w:tblHeader/>
        </w:trPr>
        <w:tc>
          <w:tcPr>
            <w:tcW w:type="dxa" w:w="4600"/>
            <w:tcBorders>
              <w:top w:val="single" w:color="999999" w:sz="4"/>
              <w:left w:val="single" w:color="999999" w:sz="4"/>
              <w:bottom w:val="single" w:color="999999" w:sz="4"/>
              <w:right w:val="single" w:color="999999" w:sz="4"/>
            </w:tcBorders>
            <w:shd w:fill="D9E2EC" w:color="auto" w:val="clear"/>
            <w:tcMar>
              <w:top w:type="dxa" w:w="50"/>
              <w:left w:type="dxa" w:w="80"/>
              <w:bottom w:type="dxa" w:w="50"/>
              <w:right w:type="dxa" w:w="80"/>
            </w:tcMar>
          </w:tcPr>
          <w:p>
            <w:pPr>
              <w:spacing w:after="40"/>
            </w:pPr>
            <w:r>
              <w:rPr>
                <w:b/>
                <w:bCs/>
                <w:sz w:val="15"/>
                <w:szCs w:val="15"/>
              </w:rPr>
              <w:t xml:space="preserve">Quelle</w:t>
            </w:r>
          </w:p>
        </w:tc>
        <w:tc>
          <w:tcPr>
            <w:tcW w:type="dxa" w:w="3100"/>
            <w:tcBorders>
              <w:top w:val="single" w:color="999999" w:sz="4"/>
              <w:left w:val="single" w:color="999999" w:sz="4"/>
              <w:bottom w:val="single" w:color="999999" w:sz="4"/>
              <w:right w:val="single" w:color="999999" w:sz="4"/>
            </w:tcBorders>
            <w:shd w:fill="D9E2EC" w:color="auto" w:val="clear"/>
            <w:tcMar>
              <w:top w:type="dxa" w:w="50"/>
              <w:left w:type="dxa" w:w="80"/>
              <w:bottom w:type="dxa" w:w="50"/>
              <w:right w:type="dxa" w:w="80"/>
            </w:tcMar>
          </w:tcPr>
          <w:p>
            <w:pPr>
              <w:spacing w:after="40"/>
            </w:pPr>
            <w:r>
              <w:rPr>
                <w:b/>
                <w:bCs/>
                <w:sz w:val="15"/>
                <w:szCs w:val="15"/>
              </w:rPr>
              <w:t xml:space="preserve">DOI</w:t>
            </w:r>
          </w:p>
        </w:tc>
        <w:tc>
          <w:tcPr>
            <w:tcW w:type="dxa" w:w="1100"/>
            <w:tcBorders>
              <w:top w:val="single" w:color="999999" w:sz="4"/>
              <w:left w:val="single" w:color="999999" w:sz="4"/>
              <w:bottom w:val="single" w:color="999999" w:sz="4"/>
              <w:right w:val="single" w:color="999999" w:sz="4"/>
            </w:tcBorders>
            <w:shd w:fill="D9E2EC" w:color="auto" w:val="clear"/>
            <w:tcMar>
              <w:top w:type="dxa" w:w="50"/>
              <w:left w:type="dxa" w:w="80"/>
              <w:bottom w:type="dxa" w:w="50"/>
              <w:right w:type="dxa" w:w="80"/>
            </w:tcMar>
          </w:tcPr>
          <w:p>
            <w:pPr>
              <w:spacing w:after="40"/>
            </w:pPr>
            <w:r>
              <w:rPr>
                <w:b/>
                <w:bCs/>
                <w:sz w:val="15"/>
                <w:szCs w:val="15"/>
              </w:rPr>
              <w:t xml:space="preserve">Crossref</w:t>
            </w:r>
          </w:p>
        </w:tc>
        <w:tc>
          <w:tcPr>
            <w:tcW w:type="dxa" w:w="1300"/>
            <w:tcBorders>
              <w:top w:val="single" w:color="999999" w:sz="4"/>
              <w:left w:val="single" w:color="999999" w:sz="4"/>
              <w:bottom w:val="single" w:color="999999" w:sz="4"/>
              <w:right w:val="single" w:color="999999" w:sz="4"/>
            </w:tcBorders>
            <w:shd w:fill="D9E2EC" w:color="auto" w:val="clear"/>
            <w:tcMar>
              <w:top w:type="dxa" w:w="50"/>
              <w:left w:type="dxa" w:w="80"/>
              <w:bottom w:type="dxa" w:w="50"/>
              <w:right w:type="dxa" w:w="80"/>
            </w:tcMar>
          </w:tcPr>
          <w:p>
            <w:pPr>
              <w:spacing w:after="40"/>
            </w:pPr>
            <w:r>
              <w:rPr>
                <w:b/>
                <w:bCs/>
                <w:sz w:val="15"/>
                <w:szCs w:val="15"/>
              </w:rPr>
              <w:t xml:space="preserve">Abstract (OpenAlex)</w:t>
            </w:r>
          </w:p>
        </w:tc>
        <w:tc>
          <w:tcPr>
            <w:tcW w:type="dxa" w:w="5298"/>
            <w:tcBorders>
              <w:top w:val="single" w:color="999999" w:sz="4"/>
              <w:left w:val="single" w:color="999999" w:sz="4"/>
              <w:bottom w:val="single" w:color="999999" w:sz="4"/>
              <w:right w:val="single" w:color="999999" w:sz="4"/>
            </w:tcBorders>
            <w:shd w:fill="D9E2EC" w:color="auto" w:val="clear"/>
            <w:tcMar>
              <w:top w:type="dxa" w:w="50"/>
              <w:left w:type="dxa" w:w="80"/>
              <w:bottom w:type="dxa" w:w="50"/>
              <w:right w:type="dxa" w:w="80"/>
            </w:tcMar>
          </w:tcPr>
          <w:p>
            <w:pPr>
              <w:spacing w:after="40"/>
            </w:pPr>
            <w:r>
              <w:rPr>
                <w:b/>
                <w:bCs/>
                <w:sz w:val="15"/>
                <w:szCs w:val="15"/>
              </w:rPr>
              <w:t xml:space="preserve">Anmerkung</w:t>
            </w:r>
          </w:p>
        </w:tc>
      </w:tr>
      <w:tr>
        <w:trPr>
          <w:cantSplit w:val="false"/>
        </w:trPr>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von Garrel &amp; Mayer 2023, Humanit. Soc. Sci. Commun. 10, 799</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10.1057/s41599-023-02304-7</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5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Itemwortlaute am Volltext übernehmen</w:t>
            </w:r>
          </w:p>
        </w:tc>
      </w:tr>
      <w:tr>
        <w:trPr>
          <w:cantSplit w:val="false"/>
        </w:trPr>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Zhou, Hwang, Ren, Dziri, Jurafsky &amp; Sap 2025, NAACL (Long Papers), S. 11148–11167</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10.18653/v1/2025.naacl-long.556</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nicht verfügbar</w:t>
            </w:r>
          </w:p>
        </w:tc>
        <w:tc>
          <w:tcPr>
            <w:tcW w:type="dxa" w:w="5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Venue jetzt geklärt; Befund ungeprüft</w:t>
            </w:r>
          </w:p>
        </w:tc>
      </w:tr>
      <w:tr>
        <w:trPr>
          <w:cantSplit w:val="false"/>
        </w:trPr>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Mack, Cutrell, Lee &amp; Morris 2021, ASSETS ’21, S. 1–14</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10.1145/3441852.3471207</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5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p>
        </w:tc>
      </w:tr>
      <w:tr>
        <w:trPr>
          <w:cantSplit w:val="false"/>
        </w:trPr>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Körber 2019 (online 2018), AISC, S. 13–30</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10.1007/978-3-319-96074-6_2</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5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deutsche Fassung laut Websuche (GitHub-Repositorium des Autors), nicht eingesehen</w:t>
            </w:r>
          </w:p>
        </w:tc>
      </w:tr>
      <w:tr>
        <w:trPr>
          <w:cantSplit w:val="false"/>
        </w:trPr>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Jian, Bisantz &amp; Drury 2000, IJCE 4(1), 53–71</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10.1207/s15327566ijce0401_04</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5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keine deutsche ZIS-Fassung gefunden (nur Websuche)</w:t>
            </w:r>
          </w:p>
        </w:tc>
      </w:tr>
      <w:tr>
        <w:trPr>
          <w:cantSplit w:val="false"/>
        </w:trPr>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Carolus et al. 2023, CHB: Artificial Humans 1(2), 100014</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10.1016/j.chbah.2023.100014</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5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MAILS (Langform)</w:t>
            </w:r>
          </w:p>
        </w:tc>
      </w:tr>
      <w:tr>
        <w:trPr>
          <w:cantSplit w:val="false"/>
        </w:trPr>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Koch, Carolus, Wienrich &amp; Latoschik 2024, Heliyon 10(21), e39686</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10.1016/j.heliyon.2024.e39686</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5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MAILS-Kurzform (10 Items); deutsche PDF laut Websuche</w:t>
            </w:r>
          </w:p>
        </w:tc>
      </w:tr>
      <w:tr>
        <w:trPr>
          <w:cantSplit w:val="false"/>
        </w:trPr>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Koch, Wienrich, Straka, Latoschik &amp; Carolus 2024, CAEAI 7, 100310</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10.1016/j.caeai.2024.100310</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5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keine Kurzform</w:t>
            </w:r>
            <w:r>
              <w:rPr>
                <w:sz w:val="15"/>
                <w:szCs w:val="15"/>
              </w:rPr>
              <w:t xml:space="preserve">, sondern Übersicht mit CFA/EFA über mehrere Skalen (englischsprachige Stichprobe, N = 219)</w:t>
            </w:r>
          </w:p>
        </w:tc>
      </w:tr>
      <w:tr>
        <w:trPr>
          <w:cantSplit w:val="false"/>
        </w:trPr>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Laupichler, Aster, Haverkamp &amp; Raupach 2023, CHB Reports 12, 100338</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10.1016/j.chbr.2023.100338</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5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SNAIL</w:t>
            </w:r>
          </w:p>
        </w:tc>
      </w:tr>
      <w:tr>
        <w:trPr>
          <w:cantSplit w:val="false"/>
        </w:trPr>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Laupichler, Aster, Perschewski &amp; Schleiss 2023, Educ. Sci. 13(10), 978</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10.3390/educsci13100978</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5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deutsche Adaption zur Kursevaluation (laut Websuche)</w:t>
            </w:r>
          </w:p>
        </w:tc>
      </w:tr>
      <w:tr>
        <w:trPr>
          <w:cantSplit w:val="false"/>
        </w:trPr>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Hornberger, Bewersdorff &amp; Nerdel 2023, CAEAI 5, 100165</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10.1016/j.caeai.2023.100165</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5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p>
        </w:tc>
      </w:tr>
      <w:tr>
        <w:trPr>
          <w:cantSplit w:val="false"/>
        </w:trPr>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Hornberger, Bewersdorff, Schiff &amp; Nerdel 2025, CHB: Artificial Humans 5, 100176</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10.1016/j.chbah.2025.100176</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5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AILIT-S</w:t>
            </w:r>
          </w:p>
        </w:tc>
      </w:tr>
      <w:tr>
        <w:trPr>
          <w:cantSplit w:val="false"/>
        </w:trPr>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Ribes-Lafoz, Navarro-Colorado &amp; Rovira-Collado 2026, Trends High. Educ. 5(2), 33</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10.3390/higheredu5020033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5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Pilot, n = 65; „Lücke“-Befund nicht im Abstract</w:t>
            </w:r>
          </w:p>
        </w:tc>
      </w:tr>
      <w:tr>
        <w:trPr>
          <w:cantSplit w:val="false"/>
        </w:trPr>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Ren 2026, Front. Psychol. 17, 1926110</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10.3389/fpsyg.2026.1926110</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5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N = 342; drei Bedingungen; Zahlen aus dem Abstract</w:t>
            </w:r>
          </w:p>
        </w:tc>
      </w:tr>
      <w:tr>
        <w:trPr>
          <w:cantSplit w:val="false"/>
        </w:trPr>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Jakesch, Bhat, Buschek, Zalmanson &amp; Naaman 2023, CHI, S. 1–15</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10.1145/3544548.3581196</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5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Wahrnehmung des Einflusses nicht im Abstract</w:t>
            </w:r>
          </w:p>
        </w:tc>
      </w:tr>
      <w:tr>
        <w:trPr>
          <w:cantSplit w:val="false"/>
        </w:trPr>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Williams-Ceci, Jakesch, Bhat, Kadoma, Zalmanson &amp; Naaman 2024, PsyArXiv</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10.31234/osf.io/mhjn6</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 (Preprint)</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5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nicht begutachtet; spätere Versionen nicht geprüft</w:t>
            </w:r>
          </w:p>
        </w:tc>
      </w:tr>
      <w:tr>
        <w:trPr>
          <w:cantSplit w:val="false"/>
        </w:trPr>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Tourangeau, Rips &amp; Rasinski 2000, Cambridge UP</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10.1017/CBO9780511819322</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5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Kapitel/Seiten ungeprüft</w:t>
            </w:r>
          </w:p>
        </w:tc>
      </w:tr>
      <w:tr>
        <w:trPr>
          <w:cantSplit w:val="false"/>
        </w:trPr>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Double &amp; Birney 2019, Front. Psychol. 10, 2755</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10.3389/fpsyg.2019.02755</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5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Review</w:t>
            </w:r>
          </w:p>
        </w:tc>
      </w:tr>
      <w:tr>
        <w:trPr>
          <w:cantSplit w:val="false"/>
        </w:trPr>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Shen, DeVos, Eslami &amp; Holstein 2021, PACM HCI 5(CSCW2), 1–29</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10.1145/3479577</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5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OpenAlex führt die Autorin als „DeVrio“, Crossref als „DeVos“</w:t>
            </w:r>
          </w:p>
        </w:tc>
      </w:tr>
      <w:tr>
        <w:trPr>
          <w:cantSplit w:val="false"/>
        </w:trPr>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DeVos, Dhabalia, Shen, Holstein &amp; Eslami 2022, CHI, S. 1–19</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10.1145/3491102.3517441</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5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wie oben</w:t>
            </w:r>
          </w:p>
        </w:tc>
      </w:tr>
      <w:tr>
        <w:trPr>
          <w:cantSplit w:val="false"/>
        </w:trPr>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Sivaraman, Bukowski, Levin, Kahn &amp; Perer 2023, CHI, S. 1–18</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10.1145/3544548.3581075</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5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klinischer Kontext, n = 24</w:t>
            </w:r>
          </w:p>
        </w:tc>
      </w:tr>
      <w:tr>
        <w:trPr>
          <w:cantSplit w:val="false"/>
        </w:trPr>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Helfferich 2011, Die Qualität qualitativer Daten, VS</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10.1007/978-3-531-92076-4</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5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Auflage und Seiten ungeprüft</w:t>
            </w:r>
          </w:p>
        </w:tc>
      </w:tr>
      <w:tr>
        <w:trPr>
          <w:cantSplit w:val="false"/>
        </w:trPr>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Wuttke, Aßenmacher, Klamm, Lang, Würschinger &amp; Kreuter 2025, LaTeCH-CLfL, S. 179–204</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10.18653/v1/2025.latechclfl-1.17</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nicht verfügbar</w:t>
            </w:r>
          </w:p>
        </w:tc>
        <w:tc>
          <w:tcPr>
            <w:tcW w:type="dxa" w:w="5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Befunde ungeprüft</w:t>
            </w:r>
          </w:p>
        </w:tc>
      </w:tr>
      <w:tr>
        <w:trPr>
          <w:cantSplit w:val="false"/>
        </w:trPr>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Russo, Johnson &amp; Stephens 1989, Mem. Cogn. 17(6), 759–769</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10.3758/BF03202637</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nicht verfügbar</w:t>
            </w:r>
          </w:p>
        </w:tc>
        <w:tc>
          <w:tcPr>
            <w:tcW w:type="dxa" w:w="5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Befunde ungeprüft</w:t>
            </w:r>
          </w:p>
        </w:tc>
      </w:tr>
      <w:tr>
        <w:trPr>
          <w:cantSplit w:val="false"/>
        </w:trPr>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Haven &amp; Van Grootel 2019, Account. Res. 26(3), 229–244</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10.1080/08989621.2019.1580147</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5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p>
        </w:tc>
      </w:tr>
      <w:tr>
        <w:trPr>
          <w:cantSplit w:val="false"/>
        </w:trPr>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Mack, Qadri, Denton, Kane &amp; Bennett 2024, CHI, S. 1–23</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10.1145/3613904.3642166</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5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DOI ergänzt</w:t>
            </w:r>
          </w:p>
        </w:tc>
      </w:tr>
      <w:tr>
        <w:trPr>
          <w:cantSplit w:val="false"/>
        </w:trPr>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Gadiraju, Kane, Dev, Taylor, Wang, Denton &amp; Brewer 2023, FAccT, S. 205–216</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10.1145/3593013.3593989</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5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DOI ergänzt</w:t>
            </w:r>
          </w:p>
        </w:tc>
      </w:tr>
      <w:tr>
        <w:trPr>
          <w:cantSplit w:val="false"/>
        </w:trPr>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Lenzner, Neuert &amp; Otto 2015 (v1.1), GESIS Survey Guidelines</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10.15465/gesis-sg_010</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 (DataCite)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5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nur über Websuche; nicht aufgelöst</w:t>
            </w:r>
          </w:p>
        </w:tc>
      </w:tr>
      <w:tr>
        <w:trPr>
          <w:cantSplit w:val="false"/>
        </w:trPr>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Lenzner, Hadler &amp; Neuert 2024, GESIS Survey Guidelines (engl.)</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10.15465/gesis-sg_en_049</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 (DataCite)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5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nur über Websuche; nicht aufgelöst</w:t>
            </w:r>
          </w:p>
        </w:tc>
      </w:tr>
      <w:tr>
        <w:trPr>
          <w:cantSplit w:val="false"/>
        </w:trPr>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Aktion Mensch 2025, Regeln für ableismus-sensible Chatbots (A–H)</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5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per Websuche nicht gefunden (nur Meldung zum Tool „Able“); Projektquelle, nicht geprüft</w:t>
            </w:r>
          </w:p>
        </w:tc>
      </w:tr>
      <w:tr>
        <w:trPr>
          <w:cantSplit w:val="false"/>
        </w:trPr>
        <w:tc>
          <w:tcPr>
            <w:tcW w:type="dxa" w:w="4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Destatis, Demografische Standards</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w:t>
            </w:r>
          </w:p>
        </w:tc>
        <w:tc>
          <w:tcPr>
            <w:tcW w:type="dxa" w:w="529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sz w:val="15"/>
                <w:szCs w:val="15"/>
              </w:rPr>
              <w:t xml:space="preserve">aktuelle Ausgabe 2024 laut Destatis-Seite (Websuche); Inhalte ungeprüft</w:t>
            </w:r>
          </w:p>
        </w:tc>
      </w:tr>
    </w:tbl>
    <w:p>
      <w:pPr>
        <w:pStyle w:val="Heading1"/>
      </w:pPr>
      <w:r>
        <w:t xml:space="preserve">Anhang B  Abweichungen und Korrekturen gegenüber dem Vorschlag</w:t>
      </w:r>
    </w:p>
    <w:p>
      <w:pPr>
        <w:pStyle w:val="ListParagraph"/>
        <w:numPr>
          <w:ilvl w:val="0"/>
          <w:numId w:val="5"/>
        </w:numPr>
        <w:spacing w:after="60"/>
      </w:pPr>
      <w:r>
        <w:rPr>
          <w:b/>
          <w:bCs/>
        </w:rPr>
        <w:t xml:space="preserve">MAILS-Kurzform:</w:t>
      </w:r>
      <w:r>
        <w:t xml:space="preserve"> Die Kurzform steht in Koch et al. 2024, Heliyon, doi:10.1016/j.heliyon.2024.e39686. Die im Vorschlag genannte doi:10.1016/j.caeai.2024.100310 ist eine Übersichts- und Faktorenanalyse über mehrere Skalen.</w:t>
      </w:r>
    </w:p>
    <w:p>
      <w:pPr>
        <w:pStyle w:val="ListParagraph"/>
        <w:numPr>
          <w:ilvl w:val="0"/>
          <w:numId w:val="5"/>
        </w:numPr>
        <w:spacing w:after="60"/>
      </w:pPr>
      <w:r>
        <w:rPr>
          <w:b/>
          <w:bCs/>
        </w:rPr>
        <w:t xml:space="preserve">Zhou et al. 2025:</w:t>
      </w:r>
      <w:r>
        <w:t xml:space="preserve"> Venue ist NAACL 2025 (Long Papers), doi:10.18653/v1/2025.naacl-long.556.</w:t>
      </w:r>
    </w:p>
    <w:p>
      <w:pPr>
        <w:pStyle w:val="ListParagraph"/>
        <w:numPr>
          <w:ilvl w:val="0"/>
          <w:numId w:val="5"/>
        </w:numPr>
        <w:spacing w:after="60"/>
      </w:pPr>
      <w:r>
        <w:rPr>
          <w:b/>
          <w:bCs/>
        </w:rPr>
        <w:t xml:space="preserve">GESIS Pretesting:</w:t>
      </w:r>
      <w:r>
        <w:t xml:space="preserve"> Gefunden habe ich Version 1.1 von 2015 und eine überarbeitete englische Fassung von 2024. Die DOIs liegen bei DataCite. Eine Ausgabe „2016“ ließ sich nicht bestätigen.</w:t>
      </w:r>
    </w:p>
    <w:p>
      <w:pPr>
        <w:pStyle w:val="ListParagraph"/>
        <w:numPr>
          <w:ilvl w:val="0"/>
          <w:numId w:val="5"/>
        </w:numPr>
        <w:spacing w:after="60"/>
      </w:pPr>
      <w:r>
        <w:rPr>
          <w:b/>
          <w:bCs/>
        </w:rPr>
        <w:t xml:space="preserve">Destatis:</w:t>
      </w:r>
      <w:r>
        <w:t xml:space="preserve"> Die aktuelle Ausgabe der Demografischen Standards ist laut Destatis die von 2024; die Ausgabe 2016 ist eine Vorgängerausgabe.</w:t>
      </w:r>
    </w:p>
    <w:p>
      <w:pPr>
        <w:pStyle w:val="ListParagraph"/>
        <w:numPr>
          <w:ilvl w:val="0"/>
          <w:numId w:val="5"/>
        </w:numPr>
        <w:spacing w:after="60"/>
      </w:pPr>
      <w:r>
        <w:rPr>
          <w:b/>
          <w:bCs/>
        </w:rPr>
        <w:t xml:space="preserve">Ribes-Lafoz et al. 2026:</w:t>
      </w:r>
      <w:r>
        <w:t xml:space="preserve"> Das Abstract beschreibt eine Pilotbefragung von 65 Lehramtsstudierenden der Primarstufe im Kontext Sprachunterricht. Die Aussage zur Lücke zwischen allgemeiner Sorge und konkretem Erkennen steht nicht im Abstract.</w:t>
      </w:r>
    </w:p>
    <w:p>
      <w:pPr>
        <w:pStyle w:val="ListParagraph"/>
        <w:numPr>
          <w:ilvl w:val="0"/>
          <w:numId w:val="5"/>
        </w:numPr>
        <w:spacing w:after="60"/>
      </w:pPr>
      <w:r>
        <w:rPr>
          <w:b/>
          <w:bCs/>
        </w:rPr>
        <w:t xml:space="preserve">DeVos et al. 2022:</w:t>
      </w:r>
      <w:r>
        <w:t xml:space="preserve"> Das Abstract bestätigt den Befund zur Prägung durch eigene Erfahrungen mit gesellschaftlichem Bias. Er stammt aus qualitativen Methoden, nicht aus einem Fragebogen.</w:t>
      </w:r>
    </w:p>
    <w:p>
      <w:pPr>
        <w:pStyle w:val="ListParagraph"/>
        <w:numPr>
          <w:ilvl w:val="0"/>
          <w:numId w:val="5"/>
        </w:numPr>
        <w:spacing w:after="60"/>
      </w:pPr>
      <w:r>
        <w:rPr>
          <w:b/>
          <w:bCs/>
        </w:rPr>
        <w:t xml:space="preserve">Williams-Ceci et al. 2024:</w:t>
      </w:r>
      <w:r>
        <w:t xml:space="preserve"> Das Abstract stützt die Erhebung des wahrgenommenen Einflusses (Mehrheit ohne Bewusstsein für den Einfluss).</w:t>
      </w:r>
    </w:p>
    <w:p>
      <w:pPr>
        <w:pStyle w:val="ListParagraph"/>
        <w:numPr>
          <w:ilvl w:val="0"/>
          <w:numId w:val="5"/>
        </w:numPr>
        <w:spacing w:after="60"/>
      </w:pPr>
      <w:r>
        <w:rPr>
          <w:b/>
          <w:bCs/>
        </w:rPr>
        <w:t xml:space="preserve">Interview:</w:t>
      </w:r>
      <w:r>
        <w:t xml:space="preserve"> Die Frage zum Vorgehen mit KI entfällt (Prozessdaten). „Selbst ergänzt“ ist ergänzt. Der Textvergleich steht vor der gestützten Frage.</w:t>
      </w:r>
    </w:p>
    <w:p>
      <w:pPr>
        <w:pStyle w:val="ListParagraph"/>
        <w:numPr>
          <w:ilvl w:val="0"/>
          <w:numId w:val="5"/>
        </w:numPr>
        <w:spacing w:after="60"/>
      </w:pPr>
      <w:r>
        <w:rPr>
          <w:b/>
          <w:bCs/>
        </w:rPr>
        <w:t xml:space="preserve">Reihenfolge:</w:t>
      </w:r>
      <w:r>
        <w:t xml:space="preserve"> Die Konfidenz zu Text 1 wandert nach N1, die Kenntnisfragen zu Alt-Text und Screenreader ans Ende von t1.</w:t>
      </w:r>
    </w:p>
    <w:p>
      <w:pPr>
        <w:pStyle w:val="ListParagraph"/>
        <w:numPr>
          <w:ilvl w:val="0"/>
          <w:numId w:val="5"/>
        </w:numPr>
        <w:spacing w:after="60"/>
      </w:pPr>
      <w:r>
        <w:rPr>
          <w:b/>
          <w:bCs/>
        </w:rPr>
        <w:t xml:space="preserve">Funktionsbezeichnung:</w:t>
      </w:r>
      <w:r>
        <w:t xml:space="preserve"> „metakognitive Kalibrierung“ wird zu „Konfidenz (Selbsteinschätzung)“.</w:t>
      </w:r>
    </w:p>
    <w:p>
      <w:pPr>
        <w:pStyle w:val="ListParagraph"/>
        <w:numPr>
          <w:ilvl w:val="0"/>
          <w:numId w:val="5"/>
        </w:numPr>
        <w:spacing w:after="60"/>
      </w:pPr>
      <w:r>
        <w:rPr>
          <w:b/>
          <w:bCs/>
        </w:rPr>
        <w:t xml:space="preserve">Ergänzt:</w:t>
      </w:r>
      <w:r>
        <w:t xml:space="preserve"> V0 Studiengang (kein Item, aber ein Datum), T1.2 Einfüge-Events bei Text 1 (Bedingungstreue), T2.3 Bild-Upload (Datenschutz), N2.5 Zufriedenheitsfrage von reason8.</w:t>
      </w:r>
    </w:p>
    <w:sectPr>
      <w:footerReference w:type="default" r:id="rId10"/>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6"/>
        <w:szCs w:val="16"/>
      </w:rPr>
      <w:t xml:space="preserve">Instrumentenbegründung LV 54612 · v0.1 · </w:t>
    </w:r>
    <w:r>
      <w:rPr>
        <w:color w:val="777777"/>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6"/>
        <w:szCs w:val="16"/>
      </w:rPr>
      <w:t xml:space="preserve">Instrumentenbegründung LV 54612 · v0.1 · </w:t>
    </w:r>
    <w:r>
      <w:rPr>
        <w:color w:val="777777"/>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6"/>
        <w:szCs w:val="16"/>
      </w:rPr>
      <w:t xml:space="preserve">Instrumentenbegründung LV 54612 · v0.1 · </w:t>
    </w:r>
    <w:r>
      <w:rPr>
        <w:color w:val="777777"/>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6"/>
        <w:szCs w:val="16"/>
      </w:rPr>
      <w:t xml:space="preserve">Instrumentenbegründung LV 54612 · v0.1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360"/>
      </w:pPr>
    </w:lvl>
  </w:abstractNum>
  <w:abstractNum w:abstractNumId="4" w15:restartNumberingAfterBreak="0">
    <w:multiLevelType w:val="hybridMultilevel"/>
    <w:lvl w:ilvl="0" w15:tentative="1">
      <w:start w:val="1"/>
      <w:numFmt w:val="decimal"/>
      <w:lvlText w:val="%1."/>
      <w:lvlJc w:val="left"/>
      <w:pPr>
        <w:ind w:left="500" w:hanging="360"/>
      </w:pPr>
    </w:lvl>
  </w:abstractNum>
  <w:abstractNum w:abstractNumId="5" w15:restartNumberingAfterBreak="0">
    <w:multiLevelType w:val="hybridMultilevel"/>
    <w:lvl w:ilvl="0" w15:tentative="1">
      <w:start w:val="1"/>
      <w:numFmt w:val="decimal"/>
      <w:lvlText w:val="%1."/>
      <w:lvlJc w:val="left"/>
      <w:pPr>
        <w:ind w:left="500" w:hanging="360"/>
      </w:pPr>
    </w:lvl>
  </w:abstractNum>
  <w:abstractNum w:abstractNumId="6"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B57"/>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3B57"/>
      <w:sz w:val="25"/>
      <w:szCs w:val="25"/>
    </w:rPr>
  </w:style>
  <w:style w:type="paragraph" w:styleId="Heading3">
    <w:name w:val="Heading 3"/>
    <w:basedOn w:val="Normal"/>
    <w:next w:val="Normal"/>
    <w:qFormat/>
    <w:pPr>
      <w:spacing w:after="100" w:before="20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Instrumentenbegründung LV 54612</dc:title>
  <dc:creator>Hendrik Wiese (Entwurf mit Claude)</dc:creator>
  <cp:lastModifiedBy>Un-named</cp:lastModifiedBy>
  <cp:revision>1</cp:revision>
  <dcterms:created xsi:type="dcterms:W3CDTF">2026-10-09T14:38:59.221Z</dcterms:created>
  <dcterms:modified xsi:type="dcterms:W3CDTF">2026-10-09T14:38:59.222Z</dcterms:modified>
</cp:coreProperties>
</file>

<file path=docProps/custom.xml><?xml version="1.0" encoding="utf-8"?>
<Properties xmlns="http://schemas.openxmlformats.org/officeDocument/2006/custom-properties" xmlns:vt="http://schemas.openxmlformats.org/officeDocument/2006/docPropsVTypes"/>
</file>