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2"/>
          <w:szCs w:val="52"/>
        </w:rPr>
        <w:t xml:space="preserve">CHAMBER SENTINEL</w:t>
      </w:r>
    </w:p>
    <w:p>
      <w:pPr>
        <w:spacing w:after="100"/>
        <w:jc w:val="center"/>
      </w:pPr>
      <w:r>
        <w:rPr>
          <w:rFonts w:ascii="Arial" w:cs="Arial" w:eastAsia="Arial" w:hAnsi="Arial"/>
          <w:color w:val="2E75B6"/>
          <w:sz w:val="40"/>
          <w:szCs w:val="40"/>
        </w:rPr>
        <w:t xml:space="preserve">Applied to Medical Devices</w:t>
      </w:r>
    </w:p>
    <w:p>
      <w:pPr>
        <w:pBdr>
          <w:bottom w:val="single" w:color="2E75B6" w:sz="6" w:space="1"/>
        </w:pBdr>
        <w:spacing w:after="400"/>
        <w:jc w:val="center"/>
      </w:pPr>
    </w:p>
    <w:p>
      <w:pPr>
        <w:spacing w:after="100"/>
        <w:jc w:val="center"/>
      </w:pPr>
      <w:r>
        <w:rPr>
          <w:rFonts w:ascii="Arial" w:cs="Arial" w:eastAsia="Arial" w:hAnsi="Arial"/>
          <w:color w:val="444444"/>
          <w:sz w:val="28"/>
          <w:szCs w:val="28"/>
        </w:rPr>
        <w:t xml:space="preserve">A Burden-of-Justification Framework for Data Persistence</w:t>
      </w:r>
    </w:p>
    <w:p>
      <w:pPr>
        <w:spacing w:after="600"/>
        <w:jc w:val="center"/>
      </w:pPr>
      <w:r>
        <w:rPr>
          <w:rFonts w:ascii="Arial" w:cs="Arial" w:eastAsia="Arial" w:hAnsi="Arial"/>
          <w:color w:val="444444"/>
          <w:sz w:val="28"/>
          <w:szCs w:val="28"/>
        </w:rPr>
        <w:t xml:space="preserve">in Implantable Cardiac Electronic Devices</w:t>
      </w:r>
    </w:p>
    <w:p>
      <w:pPr>
        <w:spacing w:after="100"/>
        <w:jc w:val="center"/>
      </w:pPr>
      <w:r>
        <w:rPr>
          <w:rFonts w:ascii="Arial" w:cs="Arial" w:eastAsia="Arial" w:hAnsi="Arial"/>
          <w:color w:val="666666"/>
          <w:sz w:val="22"/>
          <w:szCs w:val="22"/>
        </w:rPr>
        <w:t xml:space="preserve">Position Paper — April 2026 — Third Draft</w:t>
      </w:r>
    </w:p>
    <w:p>
      <w:pPr>
        <w:jc w:val="center"/>
      </w:pPr>
      <w:r>
        <w:rPr>
          <w:rFonts w:ascii="Arial" w:cs="Arial" w:eastAsia="Arial" w:hAnsi="Arial"/>
          <w:b/>
          <w:bCs/>
          <w:color w:val="2E75B6"/>
          <w:sz w:val="22"/>
          <w:szCs w:val="22"/>
        </w:rPr>
        <w:t xml:space="preserve">DRAFT FOR PEER REVIEW</w:t>
      </w:r>
    </w:p>
    <w:p>
      <w:pPr>
        <w:sectPr>
          <w:pgSz w:w="12240" w:h="15840" w:orient="portrait"/>
          <w:pgMar w:top="1440" w:right="1440" w:bottom="1440" w:left="1440" w:header="708" w:footer="708" w:gutter="0"/>
          <w:pgNumType/>
          <w:docGrid w:linePitch="360"/>
        </w:sectPr>
      </w:pPr>
    </w:p>
    <w:p>
      <w:pPr>
        <w:pStyle w:val="Heading1"/>
      </w:pPr>
      <w:r>
        <w:t xml:space="preserve">1. Abstract</w:t>
      </w:r>
    </w:p>
    <w:p>
      <w:pPr>
        <w:spacing w:after="200" w:line="276"/>
      </w:pPr>
      <w:r>
        <w:rPr>
          <w:rFonts w:ascii="Arial" w:cs="Arial" w:eastAsia="Arial" w:hAnsi="Arial"/>
          <w:sz w:val="22"/>
          <w:szCs w:val="22"/>
        </w:rPr>
        <w:t xml:space="preserve">Current data persistence practices in implantable cardiac electronic device (CIED) ecosystems are shaped by manufacturer architectural choices that have not been subject to systematic justification against a safety-necessity standard. This paper proposes that they should be. Drawing on the Chamber Sentinel framework — a computation model in which </w:t>
      </w:r>
      <w:r>
        <w:rPr>
          <w:rFonts w:ascii="Arial" w:cs="Arial" w:eastAsia="Arial" w:hAnsi="Arial"/>
          <w:b/>
          <w:bCs/>
          <w:sz w:val="22"/>
          <w:szCs w:val="22"/>
        </w:rPr>
        <w:t xml:space="preserve">destruction is the default and persistence is the exception</w:t>
      </w:r>
      <w:r>
        <w:rPr>
          <w:rFonts w:ascii="Arial" w:cs="Arial" w:eastAsia="Arial" w:hAnsi="Arial"/>
          <w:sz w:val="22"/>
          <w:szCs w:val="22"/>
        </w:rPr>
        <w:t xml:space="preserve"> — we offer a burden-of-justification heuristic for evaluating whether specific CIED data flows require persistence, and if so, for how long, by whom, and under what governance.</w:t>
      </w:r>
    </w:p>
    <w:p>
      <w:pPr>
        <w:spacing w:after="200" w:line="276"/>
      </w:pPr>
      <w:r>
        <w:rPr>
          <w:rFonts w:ascii="Arial" w:cs="Arial" w:eastAsia="Arial" w:hAnsi="Arial"/>
          <w:sz w:val="22"/>
          <w:szCs w:val="22"/>
        </w:rPr>
        <w:t xml:space="preserve">We construct a descriptive model of the modern pacemaker data ecosystem based on publicly available manufacturer documentation, published clinical workflows, peer-reviewed literature on CIED remote monitoring, and published cybersecurity audits. We propose a tentative three-tier classification of data flows (safety-required, clinically arguable, commercially beneficial beyond demonstrated safety necessity) and outline a Chambers-based alternative architecture. The paper’s contribution is the framework and the questions it forces, not a claim to have conclusively demonstrated that present practices exceed safety minima. That stronger claim requires empirical validation — including clinical stakeholder consultation and detailed vendor workflow analysis — that this paper identifies as necessary next steps.</w:t>
      </w:r>
    </w:p>
    <w:p>
      <w:pPr>
        <w:pStyle w:val="Heading1"/>
      </w:pPr>
      <w:r>
        <w:t xml:space="preserve">2. Introduction</w:t>
      </w:r>
    </w:p>
    <w:p>
      <w:pPr>
        <w:pStyle w:val="Heading2"/>
      </w:pPr>
      <w:r>
        <w:t xml:space="preserve">2.1 The Data Sovereignty Problem in Medical Devices</w:t>
      </w:r>
    </w:p>
    <w:p>
      <w:pPr>
        <w:spacing w:after="200" w:line="276"/>
      </w:pPr>
      <w:r>
        <w:rPr>
          <w:rFonts w:ascii="Arial" w:cs="Arial" w:eastAsia="Arial" w:hAnsi="Arial"/>
          <w:sz w:val="22"/>
          <w:szCs w:val="22"/>
        </w:rPr>
        <w:t xml:space="preserve">Modern pacemakers are networked computing devices that continuously collect, store, and transmit data about the patient’s cardiac activity, physical movement, and device performance. This data flows through a multi-party ecosystem involving the device manufacturer, cloud infrastructure, clinician portals, hospital EMR systems, insurers, and regulatory bodies.</w:t>
      </w:r>
    </w:p>
    <w:p>
      <w:pPr>
        <w:spacing w:after="200" w:line="276"/>
      </w:pPr>
      <w:r>
        <w:rPr>
          <w:rFonts w:ascii="Arial" w:cs="Arial" w:eastAsia="Arial" w:hAnsi="Arial"/>
          <w:sz w:val="22"/>
          <w:szCs w:val="22"/>
        </w:rPr>
        <w:t xml:space="preserve">The patient — the person inside whom the device is implanted and from whose body the data originates — occupies a structurally weak position in this ecosystem. Patients typically see a filtered subset of their own data through a manufacturer-controlled app, have no standard mechanism to route data directly to their clinician without the manufacturer’s platform acting as intermediary, and have limited control over how long their data persists or who accesses it downstream. These observations are drawn from published manufacturer documentation and clinical literature on CIED remote monitoring; they are descriptive, not polemical.</w:t>
      </w:r>
    </w:p>
    <w:p>
      <w:pPr>
        <w:pStyle w:val="Heading2"/>
      </w:pPr>
      <w:r>
        <w:t xml:space="preserve">2.2 The Governing Question</w:t>
      </w:r>
    </w:p>
    <w:p>
      <w:pPr>
        <w:spacing w:after="200" w:line="276"/>
      </w:pPr>
      <w:r>
        <w:rPr>
          <w:rFonts w:ascii="Arial" w:cs="Arial" w:eastAsia="Arial" w:hAnsi="Arial"/>
          <w:sz w:val="22"/>
          <w:szCs w:val="22"/>
        </w:rPr>
        <w:t xml:space="preserve">This paper asks a simple question: do the data persistence defaults in the current CIED ecosystem represent the minimum necessary to achieve clinical safety and regulatory compliance? If they exceed that minimum, who benefits from the excess, and should the burden of proof for retention rest on the manufacturer or the patient?</w:t>
      </w:r>
    </w:p>
    <w:p>
      <w:pPr>
        <w:spacing w:after="200" w:line="276"/>
      </w:pPr>
      <w:r>
        <w:rPr>
          <w:rFonts w:ascii="Arial" w:cs="Arial" w:eastAsia="Arial" w:hAnsi="Arial"/>
          <w:sz w:val="22"/>
          <w:szCs w:val="22"/>
        </w:rPr>
        <w:t xml:space="preserve">We do not claim to have answered this question conclusively. We propose a framework for answering it — the Chamber Sentinel model — and apply it to the pacemaker ecosystem to illustrate where it generates productive questions and where its application requires further empirical work.</w:t>
      </w:r>
    </w:p>
    <w:p>
      <w:pPr>
        <w:pStyle w:val="Heading2"/>
      </w:pPr>
      <w:r>
        <w:t xml:space="preserve">2.3 Contribution and Scope</w:t>
      </w:r>
    </w:p>
    <w:p>
      <w:pPr>
        <w:spacing w:after="200" w:line="276"/>
      </w:pPr>
      <w:r>
        <w:rPr>
          <w:rFonts w:ascii="Arial" w:cs="Arial" w:eastAsia="Arial" w:hAnsi="Arial"/>
          <w:b/>
          <w:bCs/>
          <w:sz w:val="22"/>
          <w:szCs w:val="22"/>
        </w:rPr>
        <w:t xml:space="preserve">What this paper contributes: </w:t>
      </w:r>
      <w:r>
        <w:rPr>
          <w:rFonts w:ascii="Arial" w:cs="Arial" w:eastAsia="Arial" w:hAnsi="Arial"/>
          <w:sz w:val="22"/>
          <w:szCs w:val="22"/>
        </w:rPr>
        <w:t xml:space="preserve">a burden-of-justification framework for CIED data persistence; a descriptive model of the pacemaker data ecosystem derived from public sources; a tentative classification of data flows by persistence justification; and an architectural sketch of a burn-by-default alternative that addresses care continuity, adverse event investigation, and legitimate R&amp;D needs.</w:t>
      </w:r>
    </w:p>
    <w:p>
      <w:pPr>
        <w:spacing w:after="200" w:line="276"/>
      </w:pPr>
      <w:r>
        <w:rPr>
          <w:rFonts w:ascii="Arial" w:cs="Arial" w:eastAsia="Arial" w:hAnsi="Arial"/>
          <w:b/>
          <w:bCs/>
          <w:sz w:val="22"/>
          <w:szCs w:val="22"/>
        </w:rPr>
        <w:t xml:space="preserve">What this paper does not claim: </w:t>
      </w:r>
      <w:r>
        <w:rPr>
          <w:rFonts w:ascii="Arial" w:cs="Arial" w:eastAsia="Arial" w:hAnsi="Arial"/>
          <w:sz w:val="22"/>
          <w:szCs w:val="22"/>
        </w:rPr>
        <w:t xml:space="preserve">that we have empirically demonstrated present practices exceed safety necessity; that the proposed architecture is technically feasible without further design work; that the classification scheme has been validated by clinical stakeholders; or that the regulatory alignment analysis constitutes legal advice.</w:t>
      </w:r>
    </w:p>
    <w:p>
      <w:pPr>
        <w:spacing w:after="200" w:line="276"/>
      </w:pPr>
      <w:r>
        <w:rPr>
          <w:rFonts w:ascii="Arial" w:cs="Arial" w:eastAsia="Arial" w:hAnsi="Arial"/>
          <w:sz w:val="22"/>
          <w:szCs w:val="22"/>
        </w:rPr>
        <w:t xml:space="preserve">The paper is a position paper in the strict sense: it advances a thesis, constructs the strongest version of the argument we can offer, and identifies what would be needed to substantiate it further.</w:t>
      </w:r>
    </w:p>
    <w:p>
      <w:pPr>
        <w:pStyle w:val="Heading1"/>
      </w:pPr>
      <w:r>
        <w:t xml:space="preserve">3. Methodology</w:t>
      </w:r>
    </w:p>
    <w:p>
      <w:pPr>
        <w:spacing w:after="200" w:line="276"/>
      </w:pPr>
      <w:r>
        <w:rPr>
          <w:rFonts w:ascii="Arial" w:cs="Arial" w:eastAsia="Arial" w:hAnsi="Arial"/>
          <w:sz w:val="22"/>
          <w:szCs w:val="22"/>
        </w:rPr>
        <w:t xml:space="preserve">The descriptive model of the pacemaker data ecosystem in Section 4 was constructed from the following source categories:</w:t>
      </w:r>
    </w:p>
    <w:p>
      <w:pPr>
        <w:spacing w:after="200" w:line="276"/>
      </w:pPr>
      <w:r>
        <w:rPr>
          <w:rFonts w:ascii="Arial" w:cs="Arial" w:eastAsia="Arial" w:hAnsi="Arial"/>
          <w:b/>
          <w:bCs/>
          <w:sz w:val="22"/>
          <w:szCs w:val="22"/>
        </w:rPr>
        <w:t xml:space="preserve">Manufacturer documentation. </w:t>
      </w:r>
      <w:r>
        <w:rPr>
          <w:rFonts w:ascii="Arial" w:cs="Arial" w:eastAsia="Arial" w:hAnsi="Arial"/>
          <w:sz w:val="22"/>
          <w:szCs w:val="22"/>
        </w:rPr>
        <w:t xml:space="preserve">Publicly available product information, patient-facing materials, and clinician workflow descriptions from the four major CIED manufacturers: Medtronic (CareLink, MyCareLink Heart), Boston Scientific (LATITUDE NXT), Abbott (Merlin.net), and Biotronik (Home Monitoring / CardioMessenger). These sources describe the data types collected, transmission mechanisms, cloud platform architecture, and clinician portal functionality. We did not have access to proprietary internal documentation, API specifications, or data retention policies beyond what manufacturers publish.</w:t>
      </w:r>
    </w:p>
    <w:p>
      <w:pPr>
        <w:spacing w:after="200" w:line="276"/>
      </w:pPr>
      <w:r>
        <w:rPr>
          <w:rFonts w:ascii="Arial" w:cs="Arial" w:eastAsia="Arial" w:hAnsi="Arial"/>
          <w:b/>
          <w:bCs/>
          <w:sz w:val="22"/>
          <w:szCs w:val="22"/>
        </w:rPr>
        <w:t xml:space="preserve">Clinical literature. </w:t>
      </w:r>
      <w:r>
        <w:rPr>
          <w:rFonts w:ascii="Arial" w:cs="Arial" w:eastAsia="Arial" w:hAnsi="Arial"/>
          <w:sz w:val="22"/>
          <w:szCs w:val="22"/>
        </w:rPr>
        <w:t xml:space="preserve">Peer-reviewed publications on CIED remote monitoring workflows, including the COMPAS, CONNECT, and MORE-CARE trials, and review articles on remote monitoring systems published in Europace, Heart Rhythm Journal, and other cardiology journals. These sources informed our understanding of which data types clinicians use, how frequently they are reviewed, and what clinical decisions they support.</w:t>
      </w:r>
    </w:p>
    <w:p>
      <w:pPr>
        <w:spacing w:after="200" w:line="276"/>
      </w:pPr>
      <w:r>
        <w:rPr>
          <w:rFonts w:ascii="Arial" w:cs="Arial" w:eastAsia="Arial" w:hAnsi="Arial"/>
          <w:b/>
          <w:bCs/>
          <w:sz w:val="22"/>
          <w:szCs w:val="22"/>
        </w:rPr>
        <w:t xml:space="preserve">Cybersecurity research. </w:t>
      </w:r>
      <w:r>
        <w:rPr>
          <w:rFonts w:ascii="Arial" w:cs="Arial" w:eastAsia="Arial" w:hAnsi="Arial"/>
          <w:sz w:val="22"/>
          <w:szCs w:val="22"/>
        </w:rPr>
        <w:t xml:space="preserve">Published security audits of CIED ecosystems, including the WhiteScope pacemaker programmer audit (2017), peer-reviewed publications on CIED cybersecurity vulnerabilities, and FDA advisories and recalls related to device cybersecurity. These sources informed the attack surface analysis in Section 8.</w:t>
      </w:r>
    </w:p>
    <w:p>
      <w:pPr>
        <w:spacing w:after="200" w:line="276"/>
      </w:pPr>
      <w:r>
        <w:rPr>
          <w:rFonts w:ascii="Arial" w:cs="Arial" w:eastAsia="Arial" w:hAnsi="Arial"/>
          <w:b/>
          <w:bCs/>
          <w:sz w:val="22"/>
          <w:szCs w:val="22"/>
        </w:rPr>
        <w:t xml:space="preserve">Regulatory texts. </w:t>
      </w:r>
      <w:r>
        <w:rPr>
          <w:rFonts w:ascii="Arial" w:cs="Arial" w:eastAsia="Arial" w:hAnsi="Arial"/>
          <w:sz w:val="22"/>
          <w:szCs w:val="22"/>
        </w:rPr>
        <w:t xml:space="preserve">GDPR (particularly Articles 5, 9, and 17), HIPAA Privacy Rule, EU MDR (Articles 83–86 on post-market surveillance), and FDA pre-market and post-market cybersecurity guidance documents.</w:t>
      </w:r>
    </w:p>
    <w:p>
      <w:pPr>
        <w:pStyle w:val="Heading2"/>
      </w:pPr>
      <w:r>
        <w:t xml:space="preserve">3.1 Classification Method</w:t>
      </w:r>
    </w:p>
    <w:p>
      <w:pPr>
        <w:spacing w:after="200" w:line="276"/>
      </w:pPr>
      <w:r>
        <w:rPr>
          <w:rFonts w:ascii="Arial" w:cs="Arial" w:eastAsia="Arial" w:hAnsi="Arial"/>
          <w:sz w:val="22"/>
          <w:szCs w:val="22"/>
        </w:rPr>
        <w:t xml:space="preserve">The three-tier classification of data flows (safety-required, clinically arguable, commercially beneficial beyond demonstrated safety necessity) was derived through an analytical process, not empirical validation. For each data type identified in the ecosystem model, we asked:</w:t>
      </w:r>
    </w:p>
    <w:p>
      <w:pPr>
        <w:spacing w:after="200" w:line="276"/>
      </w:pPr>
      <w:r>
        <w:rPr>
          <w:rFonts w:ascii="Arial" w:cs="Arial" w:eastAsia="Arial" w:hAnsi="Arial"/>
          <w:sz w:val="22"/>
          <w:szCs w:val="22"/>
        </w:rPr>
        <w:t xml:space="preserve">(1) Is there a published clinical guideline, regulatory mandate, or established clinical workflow that </w:t>
      </w:r>
      <w:r>
        <w:rPr>
          <w:rFonts w:ascii="Arial" w:cs="Arial" w:eastAsia="Arial" w:hAnsi="Arial"/>
          <w:i/>
          <w:iCs/>
          <w:sz w:val="22"/>
          <w:szCs w:val="22"/>
        </w:rPr>
        <w:t xml:space="preserve">requires</w:t>
      </w:r>
      <w:r>
        <w:rPr>
          <w:rFonts w:ascii="Arial" w:cs="Arial" w:eastAsia="Arial" w:hAnsi="Arial"/>
          <w:sz w:val="22"/>
          <w:szCs w:val="22"/>
        </w:rPr>
        <w:t xml:space="preserve"> this data to persist beyond its immediate operational use, and if so, for how long and in whose custody?</w:t>
      </w:r>
    </w:p>
    <w:p>
      <w:pPr>
        <w:spacing w:after="200" w:line="276"/>
      </w:pPr>
      <w:r>
        <w:rPr>
          <w:rFonts w:ascii="Arial" w:cs="Arial" w:eastAsia="Arial" w:hAnsi="Arial"/>
          <w:sz w:val="22"/>
          <w:szCs w:val="22"/>
        </w:rPr>
        <w:t xml:space="preserve">(2) Is there a published clinical use case for the data that </w:t>
      </w:r>
      <w:r>
        <w:rPr>
          <w:rFonts w:ascii="Arial" w:cs="Arial" w:eastAsia="Arial" w:hAnsi="Arial"/>
          <w:i/>
          <w:iCs/>
          <w:sz w:val="22"/>
          <w:szCs w:val="22"/>
        </w:rPr>
        <w:t xml:space="preserve">benefits</w:t>
      </w:r>
      <w:r>
        <w:rPr>
          <w:rFonts w:ascii="Arial" w:cs="Arial" w:eastAsia="Arial" w:hAnsi="Arial"/>
          <w:sz w:val="22"/>
          <w:szCs w:val="22"/>
        </w:rPr>
        <w:t xml:space="preserve"> from persistence, but where the persistence window or custodial arrangement in the current architecture exceeds what the clinical use case demands?</w:t>
      </w:r>
    </w:p>
    <w:p>
      <w:pPr>
        <w:spacing w:after="200" w:line="276"/>
      </w:pPr>
      <w:r>
        <w:rPr>
          <w:rFonts w:ascii="Arial" w:cs="Arial" w:eastAsia="Arial" w:hAnsi="Arial"/>
          <w:sz w:val="22"/>
          <w:szCs w:val="22"/>
        </w:rPr>
        <w:t xml:space="preserve">(3) Is there a plausible commercial benefit to the manufacturer from the data’s persistence that is </w:t>
      </w:r>
      <w:r>
        <w:rPr>
          <w:rFonts w:ascii="Arial" w:cs="Arial" w:eastAsia="Arial" w:hAnsi="Arial"/>
          <w:i/>
          <w:iCs/>
          <w:sz w:val="22"/>
          <w:szCs w:val="22"/>
        </w:rPr>
        <w:t xml:space="preserve">not reducible</w:t>
      </w:r>
      <w:r>
        <w:rPr>
          <w:rFonts w:ascii="Arial" w:cs="Arial" w:eastAsia="Arial" w:hAnsi="Arial"/>
          <w:sz w:val="22"/>
          <w:szCs w:val="22"/>
        </w:rPr>
        <w:t xml:space="preserve"> to a safety or clinical justification?</w:t>
      </w:r>
    </w:p>
    <w:p>
      <w:pPr>
        <w:spacing w:after="200" w:line="276"/>
      </w:pPr>
      <w:r>
        <w:rPr>
          <w:rFonts w:ascii="Arial" w:cs="Arial" w:eastAsia="Arial" w:hAnsi="Arial"/>
          <w:sz w:val="22"/>
          <w:szCs w:val="22"/>
        </w:rPr>
        <w:t xml:space="preserve">We acknowledge that this classification reflects our analytical judgment, informed by published sources, rather than empirical measurement or clinical stakeholder validation. Different analysts might draw the boundaries differently, particularly for the “clinically arguable” category. The classification should be treated as a hypothesis to be tested, not a finding to be accepted.</w:t>
      </w:r>
    </w:p>
    <w:p>
      <w:pPr>
        <w:pStyle w:val="Heading2"/>
      </w:pPr>
      <w:r>
        <w:t xml:space="preserve">3.2 Limitations of Methodology</w:t>
      </w:r>
    </w:p>
    <w:p>
      <w:pPr>
        <w:spacing w:after="200" w:line="276"/>
      </w:pPr>
      <w:r>
        <w:rPr>
          <w:rFonts w:ascii="Arial" w:cs="Arial" w:eastAsia="Arial" w:hAnsi="Arial"/>
          <w:sz w:val="22"/>
          <w:szCs w:val="22"/>
        </w:rPr>
        <w:t xml:space="preserve">This methodology has clear limitations. We did not interview clinical electrophysiologists, device engineers, patients, or regulatory officials. We did not have access to proprietary manufacturer data retention policies, internal data governance procedures, or contractual terms governing data use between manufacturers and healthcare providers. We did not conduct a systematic review of the clinical literature. Our ecosystem model is a synthesis of publicly available information, and may be incomplete, outdated, or inaccurate in specific details.</w:t>
      </w:r>
    </w:p>
    <w:p>
      <w:pPr>
        <w:spacing w:after="200" w:line="276"/>
      </w:pPr>
      <w:r>
        <w:rPr>
          <w:rFonts w:ascii="Arial" w:cs="Arial" w:eastAsia="Arial" w:hAnsi="Arial"/>
          <w:sz w:val="22"/>
          <w:szCs w:val="22"/>
        </w:rPr>
        <w:t xml:space="preserve">These limitations are significant. They constrain the confidence with which any claim in this paper should be read. We have identified them explicitly so that readers can calibrate accordingly and so that future work can address them directly.</w:t>
      </w:r>
    </w:p>
    <w:p>
      <w:pPr>
        <w:pStyle w:val="Heading1"/>
      </w:pPr>
      <w:r>
        <w:t xml:space="preserve">4. The Pacemaker Data Ecosystem</w:t>
      </w:r>
    </w:p>
    <w:p>
      <w:pPr>
        <w:pStyle w:val="Heading2"/>
      </w:pPr>
      <w:r>
        <w:t xml:space="preserve">4.1 Architecture Overview</w:t>
      </w:r>
    </w:p>
    <w:p>
      <w:pPr>
        <w:spacing w:after="200" w:line="276"/>
      </w:pPr>
      <w:r>
        <w:rPr>
          <w:rFonts w:ascii="Arial" w:cs="Arial" w:eastAsia="Arial" w:hAnsi="Arial"/>
          <w:sz w:val="22"/>
          <w:szCs w:val="22"/>
        </w:rPr>
        <w:t xml:space="preserve">Based on the sources described in Section 3, we identify five layers through which patient data flows in the current CIED remote monitoring architecture. This model is a synthesis; specific implementations vary across manufacturers.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700"/>
        <w:gridCol w:w="26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Types</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Persistence</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 On-Device</w:t>
            </w:r>
          </w:p>
        </w:tc>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Implanted pacemaker internal storage</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Heart rate, rhythm, lead impedance, pacing thresholds, battery status, arrhythmia logs, IEGMs</w:t>
            </w:r>
          </w:p>
        </w:tc>
        <w:tc>
          <w:tcPr>
            <w:tcW w:type="dxa" w:w="2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Retained until overwritten by device memory limits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Device → Transmitter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 or RF telemetry to bedside monitor or smartphone app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device interrogation dump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Cached until uploaded</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3. Transmitter → Cloud</w:t>
            </w:r>
          </w:p>
        </w:tc>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Upload to manufacturer-managed cloud platform</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All Layer 1 data plus transmission metadata</w:t>
            </w:r>
          </w:p>
        </w:tc>
        <w:tc>
          <w:tcPr>
            <w:tcW w:type="dxa" w:w="2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Appears to be retained indefinitely based on available documentation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Cloud → Clinician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Physician accesses processed reports via manufacturer portal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summaries, trend reports, IEGM strips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Retained in manufacturer cloud; may also enter hospital EMR</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5. Aggregated Pools</w:t>
            </w:r>
          </w:p>
        </w:tc>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Population-level data across all patients on the platform</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Aggregate analytics (de-identification level unclear from public sources)</w:t>
            </w:r>
          </w:p>
        </w:tc>
        <w:tc>
          <w:tcPr>
            <w:tcW w:type="dxa" w:w="2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Appears indefinite; feeds R&amp;D, regulatory filings, and potentially commercial analytics</w:t>
            </w:r>
          </w:p>
        </w:tc>
      </w:tr>
    </w:tbl>
    <w:p>
      <w:pPr>
        <w:spacing w:after="200"/>
      </w:pPr>
    </w:p>
    <w:p>
      <w:pPr>
        <w:pStyle w:val="Heading2"/>
      </w:pPr>
      <w:r>
        <w:t xml:space="preserve">4.2 The Manufacturer as Intermediary</w:t>
      </w:r>
    </w:p>
    <w:p>
      <w:pPr>
        <w:spacing w:after="200" w:line="276"/>
      </w:pPr>
      <w:r>
        <w:rPr>
          <w:rFonts w:ascii="Arial" w:cs="Arial" w:eastAsia="Arial" w:hAnsi="Arial"/>
          <w:sz w:val="22"/>
          <w:szCs w:val="22"/>
        </w:rPr>
        <w:t xml:space="preserve">In all four major manufacturers’ systems, clinical data passes through manufacturer-controlled cloud infrastructure before reaching the treating physician. Based on publicly available documentation, there is no standard direct patient-to-clinician data path for CIED telemetry.</w:t>
      </w:r>
    </w:p>
    <w:p>
      <w:pPr>
        <w:spacing w:after="200" w:line="276"/>
      </w:pPr>
      <w:r>
        <w:rPr>
          <w:rFonts w:ascii="Arial" w:cs="Arial" w:eastAsia="Arial" w:hAnsi="Arial"/>
          <w:sz w:val="22"/>
          <w:szCs w:val="22"/>
        </w:rPr>
        <w:t xml:space="preserve">This architecture serves legitimate functions: data processing, alert triage, report generation, and transmission reliability. The question we pose is whether these functions require the manufacturer to retain a persistent copy of the data, or whether they could be performed by a relay architecture that processes data in transit and delivers results without long-term retention. We believe the latter is architecturally plausible but acknowledge that demonstrating it requires engineering analysis beyond this paper’s scope.</w:t>
      </w:r>
    </w:p>
    <w:p>
      <w:pPr>
        <w:pStyle w:val="Heading2"/>
      </w:pPr>
      <w:r>
        <w:t xml:space="preserve">4.3 Data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300"/>
        <w:gridCol w:w="22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Consumer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Interest in Persistence</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Benefit to Patient</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Framework Question</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Device OEM</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Product R&amp;D, post-market surveillance, regulatory filings, competitive intelligence</w:t>
            </w:r>
          </w:p>
        </w:tc>
        <w:tc>
          <w:tcPr>
            <w:tcW w:type="dxa" w:w="2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Indirect (better future devices)</w:t>
            </w:r>
          </w:p>
        </w:tc>
        <w:tc>
          <w:tcPr>
            <w:tcW w:type="dxa" w:w="22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Which of these require individual-level persistence vs. aggregate?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Treating Clinician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Therapy optimisation, arrhythmia management, device verification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and high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the clinician need the manufacturer to hold a copy, or just to deliver one?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Hospital System</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EMR completeness, billing, quality metrics</w:t>
            </w:r>
          </w:p>
        </w:tc>
        <w:tc>
          <w:tcPr>
            <w:tcW w:type="dxa" w:w="2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Moderate</w:t>
            </w:r>
          </w:p>
        </w:tc>
        <w:tc>
          <w:tcPr>
            <w:tcW w:type="dxa" w:w="22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Standard retention applies; not manufacturer-dependent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assessment, claims validation, premium adjustment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to negative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there a safety justification for insurer access?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Regulator</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Post-market surveillance, recall, adverse event investigation</w:t>
            </w:r>
          </w:p>
        </w:tc>
        <w:tc>
          <w:tcPr>
            <w:tcW w:type="dxa" w:w="2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Indirect (safety oversight)</w:t>
            </w:r>
          </w:p>
        </w:tc>
        <w:tc>
          <w:tcPr>
            <w:tcW w:type="dxa" w:w="22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What is the minimal data the manufacturer must retain for regulatory compliance?</w:t>
            </w:r>
          </w:p>
        </w:tc>
      </w:tr>
    </w:tbl>
    <w:p>
      <w:pPr>
        <w:spacing w:after="200"/>
      </w:pPr>
    </w:p>
    <w:p>
      <w:pPr>
        <w:pStyle w:val="Heading1"/>
      </w:pPr>
      <w:r>
        <w:t xml:space="preserve">5. Tentative Classification of Data Flows</w:t>
      </w:r>
    </w:p>
    <w:p>
      <w:pPr>
        <w:spacing w:after="200" w:line="276"/>
      </w:pPr>
      <w:r>
        <w:rPr>
          <w:rFonts w:ascii="Arial" w:cs="Arial" w:eastAsia="Arial" w:hAnsi="Arial"/>
          <w:i/>
          <w:iCs/>
          <w:sz w:val="22"/>
          <w:szCs w:val="22"/>
        </w:rPr>
        <w:t xml:space="preserve">The classifications below reflect our analytical judgment based on published sources (Section 3). They should be treated as hypotheses requiring clinical stakeholder validation, not as established findings.</w:t>
      </w:r>
    </w:p>
    <w:p>
      <w:pPr>
        <w:pStyle w:val="Heading2"/>
      </w:pPr>
      <w:r>
        <w:t xml:space="preserve">5.1 Safety-Required Persistence</w:t>
      </w:r>
    </w:p>
    <w:p>
      <w:pPr>
        <w:spacing w:after="200" w:line="276"/>
      </w:pPr>
      <w:r>
        <w:rPr>
          <w:rFonts w:ascii="Arial" w:cs="Arial" w:eastAsia="Arial" w:hAnsi="Arial"/>
          <w:b/>
          <w:bCs/>
          <w:sz w:val="22"/>
          <w:szCs w:val="22"/>
        </w:rPr>
        <w:t xml:space="preserve">Real-time pacing parameters. </w:t>
      </w:r>
      <w:r>
        <w:rPr>
          <w:rFonts w:ascii="Arial" w:cs="Arial" w:eastAsia="Arial" w:hAnsi="Arial"/>
          <w:sz w:val="22"/>
          <w:szCs w:val="22"/>
        </w:rPr>
        <w:t xml:space="preserve">The device must maintain current therapy settings. This is operational state, not historical data. No cloud copy is required. We are aware of no published clinical argument for manufacturer cloud retention of real-time parameters.</w:t>
      </w:r>
    </w:p>
    <w:p>
      <w:pPr>
        <w:spacing w:after="200" w:line="276"/>
      </w:pPr>
      <w:r>
        <w:rPr>
          <w:rFonts w:ascii="Arial" w:cs="Arial" w:eastAsia="Arial" w:hAnsi="Arial"/>
          <w:b/>
          <w:bCs/>
          <w:sz w:val="22"/>
          <w:szCs w:val="22"/>
        </w:rPr>
        <w:t xml:space="preserve">Active clinical alerts. </w:t>
      </w:r>
      <w:r>
        <w:rPr>
          <w:rFonts w:ascii="Arial" w:cs="Arial" w:eastAsia="Arial" w:hAnsi="Arial"/>
          <w:sz w:val="22"/>
          <w:szCs w:val="22"/>
        </w:rPr>
        <w:t xml:space="preserve">Lead fracture detection, battery end-of-life warnings, sustained arrhythmia episodes. Published clinical guidelines establish that these must reach the clinician promptly. We suggest that persistence beyond clinical acknowledgment serves the manufacturer’s record-keeping interest rather than a clinical necessity, but acknowledge this judgment requires validation by practising electrophysiologists.</w:t>
      </w:r>
    </w:p>
    <w:p>
      <w:pPr>
        <w:spacing w:after="200" w:line="276"/>
      </w:pPr>
      <w:r>
        <w:rPr>
          <w:rFonts w:ascii="Arial" w:cs="Arial" w:eastAsia="Arial" w:hAnsi="Arial"/>
          <w:b/>
          <w:bCs/>
          <w:sz w:val="22"/>
          <w:szCs w:val="22"/>
        </w:rPr>
        <w:t xml:space="preserve">Recent therapy delivery logs. </w:t>
      </w:r>
      <w:r>
        <w:rPr>
          <w:rFonts w:ascii="Arial" w:cs="Arial" w:eastAsia="Arial" w:hAnsi="Arial"/>
          <w:sz w:val="22"/>
          <w:szCs w:val="22"/>
        </w:rPr>
        <w:t xml:space="preserve">IEGM strips and episode context for clinician review. Clinical workflows suggest a review cycle of 3–6 months. We tentatively propose that manufacturer retention beyond this window is not clinically mandated, subject to the adverse event exception (Section 7).</w:t>
      </w:r>
    </w:p>
    <w:p>
      <w:pPr>
        <w:pStyle w:val="Heading2"/>
      </w:pPr>
      <w:r>
        <w:t xml:space="preserve">5.2 Clinically Arguable Persistence</w:t>
      </w:r>
    </w:p>
    <w:p>
      <w:pPr>
        <w:spacing w:after="200" w:line="276"/>
      </w:pPr>
      <w:r>
        <w:rPr>
          <w:rFonts w:ascii="Arial" w:cs="Arial" w:eastAsia="Arial" w:hAnsi="Arial"/>
          <w:b/>
          <w:bCs/>
          <w:sz w:val="22"/>
          <w:szCs w:val="22"/>
        </w:rPr>
        <w:t xml:space="preserve">Longitudinal trend data. </w:t>
      </w:r>
      <w:r>
        <w:rPr>
          <w:rFonts w:ascii="Arial" w:cs="Arial" w:eastAsia="Arial" w:hAnsi="Arial"/>
          <w:sz w:val="22"/>
          <w:szCs w:val="22"/>
        </w:rPr>
        <w:t xml:space="preserve">Pacing percentages, arrhythmia burden trends. Clinically useful for therapy tuning, but the question is custodial: does the manufacturer need to hold the longitudinal record, or is it sufficient for it to be held in the patient’s medical record? We suggest the latter, but recognise that current EMR interoperability limitations complicate this in practice.</w:t>
      </w:r>
    </w:p>
    <w:p>
      <w:pPr>
        <w:spacing w:after="200" w:line="276"/>
      </w:pPr>
      <w:r>
        <w:rPr>
          <w:rFonts w:ascii="Arial" w:cs="Arial" w:eastAsia="Arial" w:hAnsi="Arial"/>
          <w:b/>
          <w:bCs/>
          <w:sz w:val="22"/>
          <w:szCs w:val="22"/>
        </w:rPr>
        <w:t xml:space="preserve">Device performance telemetry. </w:t>
      </w:r>
      <w:r>
        <w:rPr>
          <w:rFonts w:ascii="Arial" w:cs="Arial" w:eastAsia="Arial" w:hAnsi="Arial"/>
          <w:sz w:val="22"/>
          <w:szCs w:val="22"/>
        </w:rPr>
        <w:t xml:space="preserve">Lead impedance trends, battery drain curves. Useful for predicting failures. Individual-level persistence primarily benefits the manufacturer (for product improvement); patient benefit is indirect. We classify this as “arguable” rather than “commercially motivated” because a case for individual-level clinical utility can be made in specific patient populations (e.g., patients with leads under advisory).</w:t>
      </w:r>
    </w:p>
    <w:p>
      <w:pPr>
        <w:pStyle w:val="Heading2"/>
      </w:pPr>
      <w:r>
        <w:t xml:space="preserve">5.3 Plausibly Commercially Beneficial Beyond Demonstrated Safety Necessity</w:t>
      </w:r>
    </w:p>
    <w:p>
      <w:pPr>
        <w:spacing w:after="200" w:line="276"/>
      </w:pPr>
      <w:r>
        <w:rPr>
          <w:rFonts w:ascii="Arial" w:cs="Arial" w:eastAsia="Arial" w:hAnsi="Arial"/>
          <w:sz w:val="22"/>
          <w:szCs w:val="22"/>
        </w:rPr>
        <w:t xml:space="preserve">We use this deliberately cautious label because we cannot, from publicly available sources alone, conclusively demonstrate that the following data flows lack safety justification. We can observe that published clinical workflows do not appear to depend on them, and that they have apparent commercial value. A stronger characterisation would require access to manufacturer internal documentation and clinical stakeholder validation.</w:t>
      </w:r>
    </w:p>
    <w:p>
      <w:pPr>
        <w:spacing w:after="200" w:line="276"/>
      </w:pPr>
      <w:r>
        <w:rPr>
          <w:rFonts w:ascii="Arial" w:cs="Arial" w:eastAsia="Arial" w:hAnsi="Arial"/>
          <w:b/>
          <w:bCs/>
          <w:sz w:val="22"/>
          <w:szCs w:val="22"/>
        </w:rPr>
        <w:t xml:space="preserve">Patient activity tracking. </w:t>
      </w:r>
      <w:r>
        <w:rPr>
          <w:rFonts w:ascii="Arial" w:cs="Arial" w:eastAsia="Arial" w:hAnsi="Arial"/>
          <w:sz w:val="22"/>
          <w:szCs w:val="22"/>
        </w:rPr>
        <w:t xml:space="preserve">Accelerometer-derived daily activity levels and sleep patterns. We found no published clinical guideline that recommends indefinite manufacturer retention of this data. It has apparent value for lifestyle profiling and population health analytics. We acknowledge that specific clinical contexts (e.g., heart failure monitoring, rehabilitation tracking) may generate legitimate clinical uses that our public-source review did not capture.</w:t>
      </w:r>
    </w:p>
    <w:p>
      <w:pPr>
        <w:spacing w:after="200" w:line="276"/>
      </w:pPr>
      <w:r>
        <w:rPr>
          <w:rFonts w:ascii="Arial" w:cs="Arial" w:eastAsia="Arial" w:hAnsi="Arial"/>
          <w:b/>
          <w:bCs/>
          <w:sz w:val="22"/>
          <w:szCs w:val="22"/>
        </w:rPr>
        <w:t xml:space="preserve">Indefinite manufacturer cloud retention of complete patient datasets. </w:t>
      </w:r>
      <w:r>
        <w:rPr>
          <w:rFonts w:ascii="Arial" w:cs="Arial" w:eastAsia="Arial" w:hAnsi="Arial"/>
          <w:sz w:val="22"/>
          <w:szCs w:val="22"/>
        </w:rPr>
        <w:t xml:space="preserve">The persistence of all transmitted data in manufacturer clouds, beyond the relay function, appears to serve manufacturer interests (R&amp;D, regulatory submissions, commercial analytics) rather than individual patient safety. However, we note that the manufacturer’s role in providing care continuity across clinician transitions — a function of this persistence — has genuine clinical value, even if it is a byproduct of a commercially motivated architecture.</w:t>
      </w:r>
    </w:p>
    <w:p>
      <w:pPr>
        <w:pStyle w:val="Heading1"/>
      </w:pPr>
      <w:r>
        <w:t xml:space="preserve">6. Proposed Architecture: A Burn-by-Default Heuristic</w:t>
      </w:r>
    </w:p>
    <w:p>
      <w:pPr>
        <w:spacing w:after="200" w:line="276"/>
      </w:pPr>
      <w:r>
        <w:rPr>
          <w:rFonts w:ascii="Arial" w:cs="Arial" w:eastAsia="Arial" w:hAnsi="Arial"/>
          <w:sz w:val="22"/>
          <w:szCs w:val="22"/>
        </w:rPr>
        <w:t xml:space="preserve">The following architectural sketch is offered as a design heuristic, not an implementation specification. Its purpose is to illustrate what a burden-of-justification approach to CIED data persistence might look like in structural terms, and to surface the operational questions that any such approach must answer.</w:t>
      </w:r>
    </w:p>
    <w:p>
      <w:pPr>
        <w:pStyle w:val="Heading2"/>
      </w:pPr>
      <w:r>
        <w:t xml:space="preserve">6.1 Core Principles</w:t>
      </w:r>
    </w:p>
    <w:p>
      <w:pPr>
        <w:spacing w:after="200" w:line="276"/>
      </w:pPr>
      <w:r>
        <w:rPr>
          <w:rFonts w:ascii="Arial" w:cs="Arial" w:eastAsia="Arial" w:hAnsi="Arial"/>
          <w:b/>
          <w:bCs/>
          <w:sz w:val="22"/>
          <w:szCs w:val="22"/>
        </w:rPr>
        <w:t xml:space="preserve">Destruction as default. </w:t>
      </w:r>
      <w:r>
        <w:rPr>
          <w:rFonts w:ascii="Arial" w:cs="Arial" w:eastAsia="Arial" w:hAnsi="Arial"/>
          <w:sz w:val="22"/>
          <w:szCs w:val="22"/>
        </w:rPr>
        <w:t xml:space="preserve">Every data element has a typed lifetime. When it expires, the data burns from all locations outside the patient’s own record. This is a design principle, not an operational claim; implementing it requires engineering work this paper does not attempt.</w:t>
      </w:r>
    </w:p>
    <w:p>
      <w:pPr>
        <w:spacing w:after="200" w:line="276"/>
      </w:pPr>
      <w:r>
        <w:rPr>
          <w:rFonts w:ascii="Arial" w:cs="Arial" w:eastAsia="Arial" w:hAnsi="Arial"/>
          <w:b/>
          <w:bCs/>
          <w:sz w:val="22"/>
          <w:szCs w:val="22"/>
        </w:rPr>
        <w:t xml:space="preserve">Manufacturer as relay, not repository. </w:t>
      </w:r>
      <w:r>
        <w:rPr>
          <w:rFonts w:ascii="Arial" w:cs="Arial" w:eastAsia="Arial" w:hAnsi="Arial"/>
          <w:sz w:val="22"/>
          <w:szCs w:val="22"/>
        </w:rPr>
        <w:t xml:space="preserve">Data transits through manufacturer infrastructure for processing and delivery but does not persist beyond a defined relay window, unless the patient explicitly elects otherwise. We believe this is architecturally plausible but acknowledge it has not been demonstrated.</w:t>
      </w:r>
    </w:p>
    <w:p>
      <w:pPr>
        <w:spacing w:after="200" w:line="276"/>
      </w:pPr>
      <w:r>
        <w:rPr>
          <w:rFonts w:ascii="Arial" w:cs="Arial" w:eastAsia="Arial" w:hAnsi="Arial"/>
          <w:b/>
          <w:bCs/>
          <w:sz w:val="22"/>
          <w:szCs w:val="22"/>
        </w:rPr>
        <w:t xml:space="preserve">Burden of proof inversion. </w:t>
      </w:r>
      <w:r>
        <w:rPr>
          <w:rFonts w:ascii="Arial" w:cs="Arial" w:eastAsia="Arial" w:hAnsi="Arial"/>
          <w:sz w:val="22"/>
          <w:szCs w:val="22"/>
        </w:rPr>
        <w:t xml:space="preserve">The manufacturer must justify why data should persist; the patient does not need to justify why it should not. This aligns with GDPR’s storage limitation principle and HIPAA’s minimum necessary standard, though we note that alignment in principle does not guarantee compliance in implementation.</w:t>
      </w:r>
    </w:p>
    <w:p>
      <w:pPr>
        <w:pStyle w:val="Heading2"/>
      </w:pPr>
      <w:r>
        <w:t xml:space="preserve">6.2 Typed Worlds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World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Scope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Burn Schedule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Clinical</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Full-fidelity IEGMs, therapy logs, diagnostic trends, alerts</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Treating clinician</w:t>
            </w:r>
          </w:p>
        </w:tc>
        <w:tc>
          <w:tcPr>
            <w:tcW w:type="dxa" w:w="2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Burns from relay after confirmed delivery to patient record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Maintenance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impedance, battery status, firmware version, hardware identifiers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Manufacturer (warranty/recall)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data; rolling retention window</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Research</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Consent-gated; aggregable data de-identified; non-aggregable data under governed individual-level protocol</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Manufacturer R&amp;D, regulators</w:t>
            </w:r>
          </w:p>
        </w:tc>
        <w:tc>
          <w:tcPr>
            <w:tcW w:type="dxa" w:w="2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Burns on consent withdrawal or programme completion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the patient chooses to retain, in portable format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and delegates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Patient-controlled</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Safety Investigation</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Individual-level pre-event data held under regulatory authority</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Investigating parties only</w:t>
            </w:r>
          </w:p>
        </w:tc>
        <w:tc>
          <w:tcPr>
            <w:tcW w:type="dxa" w:w="2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Time-limited hold; burns after investigation closes + buffer</w:t>
            </w:r>
          </w:p>
        </w:tc>
      </w:tr>
    </w:tbl>
    <w:p>
      <w:pPr>
        <w:spacing w:after="200"/>
      </w:pPr>
    </w:p>
    <w:p>
      <w:pPr>
        <w:pStyle w:val="Heading2"/>
      </w:pPr>
      <w:r>
        <w:t xml:space="preserve">6.3 The Portable Record</w:t>
      </w:r>
    </w:p>
    <w:p>
      <w:pPr>
        <w:spacing w:after="200" w:line="276"/>
      </w:pPr>
      <w:r>
        <w:rPr>
          <w:rFonts w:ascii="Arial" w:cs="Arial" w:eastAsia="Arial" w:hAnsi="Arial"/>
          <w:sz w:val="22"/>
          <w:szCs w:val="22"/>
        </w:rPr>
        <w:t xml:space="preserve">A central objection to burn-from-manufacturer semantics is that the manufacturer cloud currently provides care continuity across clinician changes. EMR access is not universal; patients change providers; hospital records do not follow patients reliably. This objection is valid and must be addressed by any burn-by-default proposal.</w:t>
      </w:r>
    </w:p>
    <w:p>
      <w:pPr>
        <w:spacing w:after="200" w:line="276"/>
      </w:pPr>
      <w:r>
        <w:rPr>
          <w:rFonts w:ascii="Arial" w:cs="Arial" w:eastAsia="Arial" w:hAnsi="Arial"/>
          <w:sz w:val="22"/>
          <w:szCs w:val="22"/>
        </w:rPr>
        <w:t xml:space="preserve">We propose a patient-controlled, manufacturer-independent portable record that receives the full clinical dataset after each transmission cycle. This is not an EMR but a patient-held store shareable with any clinician. The architecture must allow delegation to a family member, care coordinator, or (with explicit consent) the manufacturer itself, because many pacemaker patients face cognitive, technical, or practical barriers to data management.</w:t>
      </w:r>
    </w:p>
    <w:p>
      <w:pPr>
        <w:spacing w:after="200" w:line="276"/>
      </w:pPr>
      <w:r>
        <w:rPr>
          <w:rFonts w:ascii="Arial" w:cs="Arial" w:eastAsia="Arial" w:hAnsi="Arial"/>
          <w:b/>
          <w:bCs/>
          <w:sz w:val="22"/>
          <w:szCs w:val="22"/>
        </w:rPr>
        <w:t xml:space="preserve">Honest acknowledgment: </w:t>
      </w:r>
      <w:r>
        <w:rPr>
          <w:rFonts w:ascii="Arial" w:cs="Arial" w:eastAsia="Arial" w:hAnsi="Arial"/>
          <w:sz w:val="22"/>
          <w:szCs w:val="22"/>
        </w:rPr>
        <w:t xml:space="preserve">This delegation concession means the architecture may, in some cases, operationally resemble the current model, with the manufacturer acting as custodian. The structural difference is that this custodianship is patient-delegated and revocable, not manufacturer-imposed. Whether this structural difference produces meaningfully different outcomes in practice is an empirical question we cannot answer from this analysis alone.</w:t>
      </w:r>
    </w:p>
    <w:p>
      <w:pPr>
        <w:pStyle w:val="Heading2"/>
      </w:pPr>
      <w:r>
        <w:t xml:space="preserve">6.4 The Research Channel</w:t>
      </w:r>
    </w:p>
    <w:p>
      <w:pPr>
        <w:spacing w:after="200" w:line="276"/>
      </w:pPr>
      <w:r>
        <w:rPr>
          <w:rFonts w:ascii="Arial" w:cs="Arial" w:eastAsia="Arial" w:hAnsi="Arial"/>
          <w:sz w:val="22"/>
          <w:szCs w:val="22"/>
        </w:rPr>
        <w:t xml:space="preserve">The research channel must honestly distinguish two data classes:</w:t>
      </w:r>
    </w:p>
    <w:p>
      <w:pPr>
        <w:spacing w:after="200" w:line="276"/>
      </w:pPr>
      <w:r>
        <w:rPr>
          <w:rFonts w:ascii="Arial" w:cs="Arial" w:eastAsia="Arial" w:hAnsi="Arial"/>
          <w:b/>
          <w:bCs/>
          <w:sz w:val="22"/>
          <w:szCs w:val="22"/>
        </w:rPr>
        <w:t xml:space="preserve">Aggregable data </w:t>
      </w:r>
      <w:r>
        <w:rPr>
          <w:rFonts w:ascii="Arial" w:cs="Arial" w:eastAsia="Arial" w:hAnsi="Arial"/>
          <w:sz w:val="22"/>
          <w:szCs w:val="22"/>
        </w:rPr>
        <w:t xml:space="preserve">(episode counts, therapy rates, device utilisation, battery metrics) can be summarised at population level. These flow through a de-identified aggregate channel with standard disclosure controls. We note that de-identification of cardiac device data is fragile — combinations of age, device type, episode timing, and geography can re-identify in small populations — and the governance model must account for residual re-identification risk.</w:t>
      </w:r>
    </w:p>
    <w:p>
      <w:pPr>
        <w:spacing w:after="200" w:line="276"/>
      </w:pPr>
      <w:r>
        <w:rPr>
          <w:rFonts w:ascii="Arial" w:cs="Arial" w:eastAsia="Arial" w:hAnsi="Arial"/>
          <w:b/>
          <w:bCs/>
          <w:sz w:val="22"/>
          <w:szCs w:val="22"/>
        </w:rPr>
        <w:t xml:space="preserve">Non-aggregable data </w:t>
      </w:r>
      <w:r>
        <w:rPr>
          <w:rFonts w:ascii="Arial" w:cs="Arial" w:eastAsia="Arial" w:hAnsi="Arial"/>
          <w:sz w:val="22"/>
          <w:szCs w:val="22"/>
        </w:rPr>
        <w:t xml:space="preserve">(individual lead impedance trajectories, longitudinal arrhythmia evolution, therapy response patterns) cannot be reduced to population statistics without losing R&amp;D value. We propose a governed individual-level research channel with explicit consent, defined retention periods, independent ethics review, and mandatory burn on consent withdrawal. This is a concession: it means the framework permits individual-level manufacturer retention for specific, governed purposes. The Chambers principle is preserved — persistence requires justification, consent, and a finite lifetime — but the justification is allowed to succeed.</w:t>
      </w:r>
    </w:p>
    <w:p>
      <w:pPr>
        <w:pStyle w:val="Heading2"/>
      </w:pPr>
      <w:r>
        <w:t xml:space="preserve">6.5 Patient-Elected Persistence</w:t>
      </w:r>
    </w:p>
    <w:p>
      <w:pPr>
        <w:spacing w:after="200" w:line="276"/>
      </w:pPr>
      <w:r>
        <w:rPr>
          <w:rFonts w:ascii="Arial" w:cs="Arial" w:eastAsia="Arial" w:hAnsi="Arial"/>
          <w:sz w:val="22"/>
          <w:szCs w:val="22"/>
        </w:rPr>
        <w:t xml:space="preserve">Patients may explicitly elect to have the manufacturer retain their data, for any duration, revocable at any time. The default remains burn; persistence requires affirmative patient action. The election is granular (a patient can elect persistence for clinical data but not activity tracking). This preserves patient autonomy without mandating a sovereignty posture the patient may not want.</w:t>
      </w:r>
    </w:p>
    <w:p>
      <w:pPr>
        <w:pStyle w:val="Heading1"/>
      </w:pPr>
      <w:r>
        <w:t xml:space="preserve">7. Adverse Event Investigation</w:t>
      </w:r>
    </w:p>
    <w:p>
      <w:pPr>
        <w:spacing w:after="200" w:line="276"/>
      </w:pPr>
      <w:r>
        <w:rPr>
          <w:rFonts w:ascii="Arial" w:cs="Arial" w:eastAsia="Arial" w:hAnsi="Arial"/>
          <w:sz w:val="22"/>
          <w:szCs w:val="22"/>
        </w:rPr>
        <w:t xml:space="preserve">If a patient dies unexpectedly or experiences a serious device-related adverse event, the investigating parties may need the individual’s full pre-event data. If that data has burned, the investigation may be compromised. This is a genuine tension with burn-by-default semantics that must be addressed directly.</w:t>
      </w:r>
    </w:p>
    <w:p>
      <w:pPr>
        <w:pStyle w:val="Heading2"/>
      </w:pPr>
      <w:r>
        <w:t xml:space="preserve">7.1 Safety Investigation Hold</w:t>
      </w:r>
    </w:p>
    <w:p>
      <w:pPr>
        <w:spacing w:after="200" w:line="276"/>
      </w:pPr>
      <w:r>
        <w:rPr>
          <w:rFonts w:ascii="Arial" w:cs="Arial" w:eastAsia="Arial" w:hAnsi="Arial"/>
          <w:b/>
          <w:bCs/>
          <w:sz w:val="22"/>
          <w:szCs w:val="22"/>
        </w:rPr>
        <w:t xml:space="preserve">Trigger: </w:t>
      </w:r>
      <w:r>
        <w:rPr>
          <w:rFonts w:ascii="Arial" w:cs="Arial" w:eastAsia="Arial" w:hAnsi="Arial"/>
          <w:sz w:val="22"/>
          <w:szCs w:val="22"/>
        </w:rPr>
        <w:t xml:space="preserve">An adverse event report (by clinician, patient, or manufacturer) triggers a hold on all data associated with the affected patient and device, suspending the burn schedule.</w:t>
      </w:r>
    </w:p>
    <w:p>
      <w:pPr>
        <w:spacing w:after="200" w:line="276"/>
      </w:pPr>
      <w:r>
        <w:rPr>
          <w:rFonts w:ascii="Arial" w:cs="Arial" w:eastAsia="Arial" w:hAnsi="Arial"/>
          <w:b/>
          <w:bCs/>
          <w:sz w:val="22"/>
          <w:szCs w:val="22"/>
        </w:rPr>
        <w:t xml:space="preserve">Scope: </w:t>
      </w:r>
      <w:r>
        <w:rPr>
          <w:rFonts w:ascii="Arial" w:cs="Arial" w:eastAsia="Arial" w:hAnsi="Arial"/>
          <w:sz w:val="22"/>
          <w:szCs w:val="22"/>
        </w:rPr>
        <w:t xml:space="preserve">The hold applies to data in the relay (if still within the burn window), on-device data, and data in the patient’s portable record. It does not create a right to access data that has already burned.</w:t>
      </w:r>
    </w:p>
    <w:p>
      <w:pPr>
        <w:spacing w:after="200" w:line="276"/>
      </w:pPr>
      <w:r>
        <w:rPr>
          <w:rFonts w:ascii="Arial" w:cs="Arial" w:eastAsia="Arial" w:hAnsi="Arial"/>
          <w:b/>
          <w:bCs/>
          <w:sz w:val="22"/>
          <w:szCs w:val="22"/>
        </w:rPr>
        <w:t xml:space="preserve">Duration: </w:t>
      </w:r>
      <w:r>
        <w:rPr>
          <w:rFonts w:ascii="Arial" w:cs="Arial" w:eastAsia="Arial" w:hAnsi="Arial"/>
          <w:sz w:val="22"/>
          <w:szCs w:val="22"/>
        </w:rPr>
        <w:t xml:space="preserve">The hold persists for the regulatory investigation plus a suggested 12-month buffer post-closure.</w:t>
      </w:r>
    </w:p>
    <w:p>
      <w:pPr>
        <w:spacing w:after="200" w:line="276"/>
      </w:pPr>
      <w:r>
        <w:rPr>
          <w:rFonts w:ascii="Arial" w:cs="Arial" w:eastAsia="Arial" w:hAnsi="Arial"/>
          <w:b/>
          <w:bCs/>
          <w:sz w:val="22"/>
          <w:szCs w:val="22"/>
        </w:rPr>
        <w:t xml:space="preserve">Governance: </w:t>
      </w:r>
      <w:r>
        <w:rPr>
          <w:rFonts w:ascii="Arial" w:cs="Arial" w:eastAsia="Arial" w:hAnsi="Arial"/>
          <w:sz w:val="22"/>
          <w:szCs w:val="22"/>
        </w:rPr>
        <w:t xml:space="preserve">Initiated by regulatory authority or manufacturer under mandatory reporting obligation. Not available for commercial purposes.</w:t>
      </w:r>
    </w:p>
    <w:p>
      <w:pPr>
        <w:spacing w:after="200" w:line="276"/>
      </w:pPr>
      <w:r>
        <w:rPr>
          <w:rFonts w:ascii="Arial" w:cs="Arial" w:eastAsia="Arial" w:hAnsi="Arial"/>
          <w:b/>
          <w:bCs/>
          <w:sz w:val="22"/>
          <w:szCs w:val="22"/>
        </w:rPr>
        <w:t xml:space="preserve">Limitation: </w:t>
      </w:r>
      <w:r>
        <w:rPr>
          <w:rFonts w:ascii="Arial" w:cs="Arial" w:eastAsia="Arial" w:hAnsi="Arial"/>
          <w:sz w:val="22"/>
          <w:szCs w:val="22"/>
        </w:rPr>
        <w:t xml:space="preserve">Some adverse events are discovered months after they occur. If the burn window has passed and no hold was triggered, the relay data is gone. The on-device data may have been overwritten. This is a real cost of burn-by-default semantics. We do not minimise it. The question is whether this cost is outweighed by the cybersecurity, privacy, and sovereignty benefits of shorter persistence windows. We believe it is, but acknowledge this is a judgment call that requires input from adverse event investigators and post-market surveillance professionals.</w:t>
      </w:r>
    </w:p>
    <w:p>
      <w:pPr>
        <w:pStyle w:val="Heading2"/>
      </w:pPr>
      <w:r>
        <w:t xml:space="preserve">7.2 Population-Level Recall Decisions</w:t>
      </w:r>
    </w:p>
    <w:p>
      <w:pPr>
        <w:spacing w:after="200" w:line="276"/>
      </w:pPr>
      <w:r>
        <w:rPr>
          <w:rFonts w:ascii="Arial" w:cs="Arial" w:eastAsia="Arial" w:hAnsi="Arial"/>
          <w:sz w:val="22"/>
          <w:szCs w:val="22"/>
        </w:rPr>
        <w:t xml:space="preserve">The Device Maintenance world retains minimal device identifiers (model, serial number, firmware version, last-reported lead impedance) with a rolling retention window sufficient for recall analysis. This data is device-focused, not patient-focused, and does not include IEGMs or arrhythmia episodes. Whether this minimal dataset is sufficient for all recall scenarios is an open question; we suggest it handles the majority but cannot rule out edge cases requiring richer data.</w:t>
      </w:r>
    </w:p>
    <w:p>
      <w:pPr>
        <w:pStyle w:val="Heading1"/>
      </w:pPr>
      <w:r>
        <w:t xml:space="preserve">8. Cybersecurity Implications</w:t>
      </w:r>
    </w:p>
    <w:p>
      <w:pPr>
        <w:spacing w:after="200" w:line="276"/>
      </w:pPr>
      <w:r>
        <w:rPr>
          <w:rFonts w:ascii="Arial" w:cs="Arial" w:eastAsia="Arial" w:hAnsi="Arial"/>
          <w:sz w:val="22"/>
          <w:szCs w:val="22"/>
        </w:rPr>
        <w:t xml:space="preserve">Published security research has identified systemic vulnerabilities in the CIED ecosystem: programmers without authentication available on secondary markets, unencrypted patient data on removable media, unsigned firmware, and exploitable proprietary protocols. The WhiteScope audit (2017) identified over 8,600 vulnerabilities across seven pacemaker programmers from four manufacturers. More recent research has continued to identify concerns in both legacy and newer IoMT device architectures.</w:t>
      </w:r>
    </w:p>
    <w:p>
      <w:pPr>
        <w:spacing w:after="200" w:line="276"/>
      </w:pPr>
      <w:r>
        <w:rPr>
          <w:rFonts w:ascii="Arial" w:cs="Arial" w:eastAsia="Arial" w:hAnsi="Arial"/>
          <w:sz w:val="22"/>
          <w:szCs w:val="22"/>
        </w:rPr>
        <w:t xml:space="preserve">We propose that burn semantics reduce attack surface through three mechanisms:</w:t>
      </w:r>
    </w:p>
    <w:p>
      <w:pPr>
        <w:spacing w:after="200" w:line="276"/>
      </w:pPr>
      <w:r>
        <w:rPr>
          <w:rFonts w:ascii="Arial" w:cs="Arial" w:eastAsia="Arial" w:hAnsi="Arial"/>
          <w:b/>
          <w:bCs/>
          <w:sz w:val="22"/>
          <w:szCs w:val="22"/>
        </w:rPr>
        <w:t xml:space="preserve">Reduced data exposure. </w:t>
      </w:r>
      <w:r>
        <w:rPr>
          <w:rFonts w:ascii="Arial" w:cs="Arial" w:eastAsia="Arial" w:hAnsi="Arial"/>
          <w:sz w:val="22"/>
          <w:szCs w:val="22"/>
        </w:rPr>
        <w:t xml:space="preserve">Data that has been destroyed cannot be exfiltrated. A relay holding data for 72 hours presents a smaller target than a persistent database. We note that this claim is directional rather than quantified; modelling the actual attack surface reduction requires security engineering analysis we have not performed.</w:t>
      </w:r>
    </w:p>
    <w:p>
      <w:pPr>
        <w:spacing w:after="200" w:line="276"/>
      </w:pPr>
      <w:r>
        <w:rPr>
          <w:rFonts w:ascii="Arial" w:cs="Arial" w:eastAsia="Arial" w:hAnsi="Arial"/>
          <w:b/>
          <w:bCs/>
          <w:sz w:val="22"/>
          <w:szCs w:val="22"/>
        </w:rPr>
        <w:t xml:space="preserve">Temporal containment. </w:t>
      </w:r>
      <w:r>
        <w:rPr>
          <w:rFonts w:ascii="Arial" w:cs="Arial" w:eastAsia="Arial" w:hAnsi="Arial"/>
          <w:sz w:val="22"/>
          <w:szCs w:val="22"/>
        </w:rPr>
        <w:t xml:space="preserve">A compromised relay node exposes at most the data within the burn window, not historical records. The damage is bounded.</w:t>
      </w:r>
    </w:p>
    <w:p>
      <w:pPr>
        <w:spacing w:after="200" w:line="276"/>
      </w:pPr>
      <w:r>
        <w:rPr>
          <w:rFonts w:ascii="Arial" w:cs="Arial" w:eastAsia="Arial" w:hAnsi="Arial"/>
          <w:b/>
          <w:bCs/>
          <w:sz w:val="22"/>
          <w:szCs w:val="22"/>
        </w:rPr>
        <w:t xml:space="preserve">Architectural simplification. </w:t>
      </w:r>
      <w:r>
        <w:rPr>
          <w:rFonts w:ascii="Arial" w:cs="Arial" w:eastAsia="Arial" w:hAnsi="Arial"/>
          <w:sz w:val="22"/>
          <w:szCs w:val="22"/>
        </w:rPr>
        <w:t xml:space="preserve">A relay that does not persist data may require less complex access control infrastructure, making it more auditable. This is an architectural intuition, not a demonstrated fact.</w:t>
      </w:r>
    </w:p>
    <w:p>
      <w:pPr>
        <w:pStyle w:val="Heading1"/>
      </w:pPr>
      <w:r>
        <w:t xml:space="preserve">9. Law Enforcement Access: Centralised vs. Distributed Custody</w:t>
      </w:r>
    </w:p>
    <w:p>
      <w:pPr>
        <w:spacing w:after="200" w:line="276"/>
      </w:pPr>
      <w:r>
        <w:rPr>
          <w:rFonts w:ascii="Arial" w:cs="Arial" w:eastAsia="Arial" w:hAnsi="Arial"/>
          <w:sz w:val="22"/>
          <w:szCs w:val="22"/>
        </w:rPr>
        <w:t xml:space="preserve">Under centralised manufacturer persistence, a single legal process served on the manufacturer can access the complete cardiac history of any patient on their platform. Under distributed custody (Chambers model), a warrant must target the specific patient’s clinician or the patient themselves. The data is not less accessible to legitimate law enforcement; it is accessible through the same individualised process as any other medical record.</w:t>
      </w:r>
    </w:p>
    <w:p>
      <w:pPr>
        <w:spacing w:after="200" w:line="276"/>
      </w:pPr>
      <w:r>
        <w:rPr>
          <w:rFonts w:ascii="Arial" w:cs="Arial" w:eastAsia="Arial" w:hAnsi="Arial"/>
          <w:sz w:val="22"/>
          <w:szCs w:val="22"/>
        </w:rPr>
        <w:t xml:space="preserve">The genuine argument is not that burned data cannot be subpoenaed (it cannot, but the clinically necessary copy in the patient’s record can be). The argument is that centralised manufacturer persistence enables bulk access in ways that distributed custody does not. Whether this structural difference matters depends on one’s assessment of the risk of disproportionate surveillance through medical device data; we flag it as a consideration rather than claiming to have resolved it.</w:t>
      </w:r>
    </w:p>
    <w:p>
      <w:pPr>
        <w:pStyle w:val="Heading1"/>
      </w:pPr>
      <w:r>
        <w:t xml:space="preserve">10. Regulatory Considerations</w:t>
      </w:r>
    </w:p>
    <w:p>
      <w:pPr>
        <w:spacing w:after="200" w:line="276"/>
      </w:pPr>
      <w:r>
        <w:rPr>
          <w:rFonts w:ascii="Arial" w:cs="Arial" w:eastAsia="Arial" w:hAnsi="Arial"/>
          <w:sz w:val="22"/>
          <w:szCs w:val="22"/>
        </w:rPr>
        <w:t xml:space="preserve">We observe, without claiming legal authority, that several regulatory frameworks appear to support a burden-of-justification approach to data persistence:</w:t>
      </w:r>
    </w:p>
    <w:p>
      <w:pPr>
        <w:spacing w:after="200" w:line="276"/>
      </w:pPr>
      <w:r>
        <w:rPr>
          <w:rFonts w:ascii="Arial" w:cs="Arial" w:eastAsia="Arial" w:hAnsi="Arial"/>
          <w:b/>
          <w:bCs/>
          <w:sz w:val="22"/>
          <w:szCs w:val="22"/>
        </w:rPr>
        <w:t xml:space="preserve">GDPR: </w:t>
      </w:r>
      <w:r>
        <w:rPr>
          <w:rFonts w:ascii="Arial" w:cs="Arial" w:eastAsia="Arial" w:hAnsi="Arial"/>
          <w:sz w:val="22"/>
          <w:szCs w:val="22"/>
        </w:rPr>
        <w:t xml:space="preserve">The storage limitation principle (Article 5(1)(e)) requires that personal data be kept no longer than necessary. Health data’s special category status (Article 9) heightens the justification threshold. A burn-by-default architecture aligns with these principles in theory; whether a specific implementation satisfies them requires legal analysis beyond this paper’s scope.</w:t>
      </w:r>
    </w:p>
    <w:p>
      <w:pPr>
        <w:spacing w:after="200" w:line="276"/>
      </w:pPr>
      <w:r>
        <w:rPr>
          <w:rFonts w:ascii="Arial" w:cs="Arial" w:eastAsia="Arial" w:hAnsi="Arial"/>
          <w:b/>
          <w:bCs/>
          <w:sz w:val="22"/>
          <w:szCs w:val="22"/>
        </w:rPr>
        <w:t xml:space="preserve">HIPAA: </w:t>
      </w:r>
      <w:r>
        <w:rPr>
          <w:rFonts w:ascii="Arial" w:cs="Arial" w:eastAsia="Arial" w:hAnsi="Arial"/>
          <w:sz w:val="22"/>
          <w:szCs w:val="22"/>
        </w:rPr>
        <w:t xml:space="preserve">The Privacy Rule’s minimum necessary standard is directionally consistent with the framework’s core principle. We note that HIPAA’s application to manufacturers (as business associates) involves contractual and regulatory complexities we do not address.</w:t>
      </w:r>
    </w:p>
    <w:p>
      <w:pPr>
        <w:spacing w:after="200" w:line="276"/>
      </w:pPr>
      <w:r>
        <w:rPr>
          <w:rFonts w:ascii="Arial" w:cs="Arial" w:eastAsia="Arial" w:hAnsi="Arial"/>
          <w:b/>
          <w:bCs/>
          <w:sz w:val="22"/>
          <w:szCs w:val="22"/>
        </w:rPr>
        <w:t xml:space="preserve">MDR: </w:t>
      </w:r>
      <w:r>
        <w:rPr>
          <w:rFonts w:ascii="Arial" w:cs="Arial" w:eastAsia="Arial" w:hAnsi="Arial"/>
          <w:sz w:val="22"/>
          <w:szCs w:val="22"/>
        </w:rPr>
        <w:t xml:space="preserve">Post-market surveillance obligations (Articles 83–86) require manufacturers to monitor device performance. The Device Maintenance world and governed Research channel are designed to satisfy these requirements, but we have not verified this through regulatory consultation.</w:t>
      </w:r>
    </w:p>
    <w:p>
      <w:pPr>
        <w:spacing w:after="200" w:line="276"/>
      </w:pPr>
      <w:r>
        <w:rPr>
          <w:rFonts w:ascii="Arial" w:cs="Arial" w:eastAsia="Arial" w:hAnsi="Arial"/>
          <w:b/>
          <w:bCs/>
          <w:sz w:val="22"/>
          <w:szCs w:val="22"/>
        </w:rPr>
        <w:t xml:space="preserve">FDA Cybersecurity Guidance: </w:t>
      </w:r>
      <w:r>
        <w:rPr>
          <w:rFonts w:ascii="Arial" w:cs="Arial" w:eastAsia="Arial" w:hAnsi="Arial"/>
          <w:sz w:val="22"/>
          <w:szCs w:val="22"/>
        </w:rPr>
        <w:t xml:space="preserve">Recent guidance emphasises reducing attack surface and security by design. Burn semantics are consistent with these priorities. The Safety Investigation hold is designed to preserve FDA’s adverse event investigation capability.</w:t>
      </w:r>
    </w:p>
    <w:p>
      <w:pPr>
        <w:pStyle w:val="Heading1"/>
      </w:pPr>
      <w:r>
        <w:t xml:space="preserve">11. Operational Preconditions and Failure Modes</w:t>
      </w:r>
    </w:p>
    <w:p>
      <w:pPr>
        <w:spacing w:after="200" w:line="276"/>
      </w:pPr>
      <w:r>
        <w:rPr>
          <w:rFonts w:ascii="Arial" w:cs="Arial" w:eastAsia="Arial" w:hAnsi="Arial"/>
          <w:sz w:val="22"/>
          <w:szCs w:val="22"/>
        </w:rPr>
        <w:t xml:space="preserve">The proposed architecture makes operational assumptions that must be confronted honestly, because any of them could cause the framework to fail in practice even if it succeeds in principle.</w:t>
      </w:r>
    </w:p>
    <w:p>
      <w:pPr>
        <w:spacing w:after="200" w:line="276"/>
      </w:pPr>
      <w:r>
        <w:rPr>
          <w:rFonts w:ascii="Arial" w:cs="Arial" w:eastAsia="Arial" w:hAnsi="Arial"/>
          <w:b/>
          <w:bCs/>
          <w:sz w:val="22"/>
          <w:szCs w:val="22"/>
        </w:rPr>
        <w:t xml:space="preserve">Clinician acknowledgment latency. </w:t>
      </w:r>
      <w:r>
        <w:rPr>
          <w:rFonts w:ascii="Arial" w:cs="Arial" w:eastAsia="Arial" w:hAnsi="Arial"/>
          <w:sz w:val="22"/>
          <w:szCs w:val="22"/>
        </w:rPr>
        <w:t xml:space="preserve">The burn schedule assumes clinicians review and acknowledge alerts within a defined window. In practice, alert fatigue, staffing constraints, and workflow bottlenecks mean that clinician acknowledgment may be delayed by days or weeks. If the relay’s burn window expires before clinical acknowledgment, data could be lost. The architecture must either extend burn windows to accommodate realistic acknowledgment latency (weakening the cybersecurity benefit) or implement confirmed-delivery holds that suspend the burn schedule until the clinician has actually reviewed the data (adding complexity).</w:t>
      </w:r>
    </w:p>
    <w:p>
      <w:pPr>
        <w:spacing w:after="200" w:line="276"/>
      </w:pPr>
      <w:r>
        <w:rPr>
          <w:rFonts w:ascii="Arial" w:cs="Arial" w:eastAsia="Arial" w:hAnsi="Arial"/>
          <w:b/>
          <w:bCs/>
          <w:sz w:val="22"/>
          <w:szCs w:val="22"/>
        </w:rPr>
        <w:t xml:space="preserve">Portable record interoperability. </w:t>
      </w:r>
      <w:r>
        <w:rPr>
          <w:rFonts w:ascii="Arial" w:cs="Arial" w:eastAsia="Arial" w:hAnsi="Arial"/>
          <w:sz w:val="22"/>
          <w:szCs w:val="22"/>
        </w:rPr>
        <w:t xml:space="preserve">The patient portable record must be readable by any clinician’s system. No universal standard for CIED data portability currently exists. FHIR-based approaches are emerging but are not yet adopted in the CIED domain. Without interoperability, the portable record becomes a locked box the patient carries but no one can open. This is an engineering and standards problem, not a conceptual one, but it is a prerequisite for the architecture’s viability.</w:t>
      </w:r>
    </w:p>
    <w:p>
      <w:pPr>
        <w:spacing w:after="200" w:line="276"/>
      </w:pPr>
      <w:r>
        <w:rPr>
          <w:rFonts w:ascii="Arial" w:cs="Arial" w:eastAsia="Arial" w:hAnsi="Arial"/>
          <w:b/>
          <w:bCs/>
          <w:sz w:val="22"/>
          <w:szCs w:val="22"/>
        </w:rPr>
        <w:t xml:space="preserve">Patient delegation failure. </w:t>
      </w:r>
      <w:r>
        <w:rPr>
          <w:rFonts w:ascii="Arial" w:cs="Arial" w:eastAsia="Arial" w:hAnsi="Arial"/>
          <w:sz w:val="22"/>
          <w:szCs w:val="22"/>
        </w:rPr>
        <w:t xml:space="preserve">If a patient delegates record custody to a family member who subsequently becomes unavailable (through death, estrangement, relocation), the patient’s data may become inaccessible. The architecture needs fallback mechanisms — perhaps a patient-nominated secondary delegate, or a regulated escrow service — that do not recreate the manufacturer-as-default-custodian problem.</w:t>
      </w:r>
    </w:p>
    <w:p>
      <w:pPr>
        <w:spacing w:after="200" w:line="276"/>
      </w:pPr>
      <w:r>
        <w:rPr>
          <w:rFonts w:ascii="Arial" w:cs="Arial" w:eastAsia="Arial" w:hAnsi="Arial"/>
          <w:b/>
          <w:bCs/>
          <w:sz w:val="22"/>
          <w:szCs w:val="22"/>
        </w:rPr>
        <w:t xml:space="preserve">Emergency access. </w:t>
      </w:r>
      <w:r>
        <w:rPr>
          <w:rFonts w:ascii="Arial" w:cs="Arial" w:eastAsia="Arial" w:hAnsi="Arial"/>
          <w:sz w:val="22"/>
          <w:szCs w:val="22"/>
        </w:rPr>
        <w:t xml:space="preserve">A patient presenting unconscious at an emergency department with a malfunctioning pacemaker needs their device data immediately. Under the current architecture, the manufacturer cloud provides this (if the treating facility has access to the manufacturer’s portal). Under the proposed architecture, the portable record must be accessible in emergency scenarios. This requires either a standardised emergency access protocol for portable records or retention of a minimal emergency dataset in a universally accessible location — a concession to persistence that the framework must accommodate.</w:t>
      </w:r>
    </w:p>
    <w:p>
      <w:pPr>
        <w:spacing w:after="200" w:line="276"/>
      </w:pPr>
      <w:r>
        <w:rPr>
          <w:rFonts w:ascii="Arial" w:cs="Arial" w:eastAsia="Arial" w:hAnsi="Arial"/>
          <w:b/>
          <w:bCs/>
          <w:sz w:val="22"/>
          <w:szCs w:val="22"/>
        </w:rPr>
        <w:t xml:space="preserve">Burn verification. </w:t>
      </w:r>
      <w:r>
        <w:rPr>
          <w:rFonts w:ascii="Arial" w:cs="Arial" w:eastAsia="Arial" w:hAnsi="Arial"/>
          <w:sz w:val="22"/>
          <w:szCs w:val="22"/>
        </w:rPr>
        <w:t xml:space="preserve">How does the patient know that data has actually been burned from the manufacturer’s systems? Cryptographic burn verification is a research problem, not a solved engineering challenge. Without it, the architecture’s guarantees are contractual rather than technical. This does not invalidate the framework but it does mean that trust in burn semantics remains partly institutional rather than architecturally enforced.</w:t>
      </w:r>
    </w:p>
    <w:p>
      <w:pPr>
        <w:pStyle w:val="Heading1"/>
      </w:pPr>
      <w:r>
        <w:t xml:space="preserve">12. Structural Parallel to Connected Vehicles</w:t>
      </w:r>
    </w:p>
    <w:p>
      <w:pPr>
        <w:spacing w:after="200" w:line="276"/>
      </w:pPr>
      <w:r>
        <w:rPr>
          <w:rFonts w:ascii="Arial" w:cs="Arial" w:eastAsia="Arial" w:hAnsi="Arial"/>
          <w:sz w:val="22"/>
          <w:szCs w:val="22"/>
        </w:rPr>
        <w:t xml:space="preserve">The pacemaker data ecosystem exhibits the same structural pattern identified in the connected vehicle analysis: the manufacturer has architected itself as an intermediary; persistence defaults appear to exceed the safety minimum; the data subject occupies the weakest custodial position.</w:t>
      </w:r>
    </w:p>
    <w:p>
      <w:pPr>
        <w:spacing w:after="200" w:line="276"/>
      </w:pPr>
      <w:r>
        <w:rPr>
          <w:rFonts w:ascii="Arial" w:cs="Arial" w:eastAsia="Arial" w:hAnsi="Arial"/>
          <w:sz w:val="22"/>
          <w:szCs w:val="22"/>
        </w:rPr>
        <w:t xml:space="preserve">The parallel must not be overextended. The higher safety stakes in the CIED context cut in both directions. For burn semantics: the cybersecurity attack surface carries life-safety implications that make persistence reduction more urgent. Against simplistic burn semantics: adverse event investigation, failure analysis, and recall decisions have greater consequences, requiring the Safety Investigation hold and Device Maintenance world — concessions that are less necessary in the vehicle domain.</w:t>
      </w:r>
    </w:p>
    <w:p>
      <w:pPr>
        <w:spacing w:after="200" w:line="276"/>
      </w:pPr>
      <w:r>
        <w:rPr>
          <w:rFonts w:ascii="Arial" w:cs="Arial" w:eastAsia="Arial" w:hAnsi="Arial"/>
          <w:sz w:val="22"/>
          <w:szCs w:val="22"/>
        </w:rPr>
        <w:t xml:space="preserve">The structural lesson is that the Chambers framework is a principled default that must be calibrated to domain-specific safety requirements. Its value is in forcing the question — what persistence is justified? — not in assuming the answer is always “none.”</w:t>
      </w:r>
    </w:p>
    <w:p>
      <w:pPr>
        <w:pStyle w:val="Heading1"/>
      </w:pPr>
      <w:r>
        <w:t xml:space="preserve">13. Conclusion and Next Steps</w:t>
      </w:r>
    </w:p>
    <w:p>
      <w:pPr>
        <w:spacing w:after="200" w:line="276"/>
      </w:pPr>
      <w:r>
        <w:rPr>
          <w:rFonts w:ascii="Arial" w:cs="Arial" w:eastAsia="Arial" w:hAnsi="Arial"/>
          <w:sz w:val="22"/>
          <w:szCs w:val="22"/>
        </w:rPr>
        <w:t xml:space="preserve">The central claim of this paper is modest and, we believe, defensible: current CIED data persistence practices should face a burden-of-justification standard, and a burn-by-default architecture is a productive design heuristic for testing whether retention is truly necessary. We have not proved that present practices exceed safety minima; we have constructed a framework that makes the question tractable and identified where the answer requires further work.</w:t>
      </w:r>
    </w:p>
    <w:p>
      <w:pPr>
        <w:spacing w:after="200" w:line="276"/>
      </w:pPr>
      <w:r>
        <w:rPr>
          <w:rFonts w:ascii="Arial" w:cs="Arial" w:eastAsia="Arial" w:hAnsi="Arial"/>
          <w:sz w:val="22"/>
          <w:szCs w:val="22"/>
        </w:rPr>
        <w:t xml:space="preserve">The framework generates five commitments: destruction as the default, with persistence requiring explicit justification; patient custody as the primary persistence location, with manufacturer retention as the governed exception; typed worlds that constrain data access to legitimate purposes with defined lifetimes; adverse event investigation exceptions that preserve safety accountability without enabling indefinite commercial retention; and honest acknowledgment that some proposed mechanisms (portable records, burn verification, emergency access) require engineering and standards work that has not yet been done.</w:t>
      </w:r>
    </w:p>
    <w:p>
      <w:pPr>
        <w:spacing w:after="200" w:line="276"/>
      </w:pPr>
      <w:r>
        <w:rPr>
          <w:rFonts w:ascii="Arial" w:cs="Arial" w:eastAsia="Arial" w:hAnsi="Arial"/>
          <w:b/>
          <w:bCs/>
          <w:sz w:val="22"/>
          <w:szCs w:val="22"/>
        </w:rPr>
        <w:t xml:space="preserve">Next steps requiring empirical work: </w:t>
      </w:r>
      <w:r>
        <w:rPr>
          <w:rFonts w:ascii="Arial" w:cs="Arial" w:eastAsia="Arial" w:hAnsi="Arial"/>
          <w:sz w:val="22"/>
          <w:szCs w:val="22"/>
        </w:rPr>
        <w:t xml:space="preserve">structured consultation with practising electrophysiologists to validate or revise the data flow classification; detailed analysis of manufacturer retention policies (ideally with manufacturer cooperation); engagement with adverse event investigators on the adequacy of the Safety Investigation hold mechanism; patient and carer consultation on portable record usability and delegation models; engineering feasibility assessment of relay-without-retention architecture; and mapping of a second device class (insulin pumps / CGMs) to test the framework’s generalisability.</w:t>
      </w:r>
    </w:p>
    <w:p>
      <w:pPr>
        <w:spacing w:after="200" w:line="276"/>
      </w:pPr>
      <w:r>
        <w:rPr>
          <w:rFonts w:ascii="Arial" w:cs="Arial" w:eastAsia="Arial" w:hAnsi="Arial"/>
          <w:b/>
          <w:bCs/>
          <w:sz w:val="22"/>
          <w:szCs w:val="22"/>
        </w:rPr>
        <w:t xml:space="preserve">Next steps requiring regulatory engagement: </w:t>
      </w:r>
      <w:r>
        <w:rPr>
          <w:rFonts w:ascii="Arial" w:cs="Arial" w:eastAsia="Arial" w:hAnsi="Arial"/>
          <w:sz w:val="22"/>
          <w:szCs w:val="22"/>
        </w:rPr>
        <w:t xml:space="preserve">formal analysis of whether the proposed architecture satisfies MDR post-market surveillance obligations; consultation with national data protection authorities on the GDPR alignment claim; and engagement with FDA/CDRH on cybersecurity guidance implications.</w:t>
      </w:r>
    </w:p>
    <w:p>
      <w:pPr>
        <w:pBdr>
          <w:bottom w:val="single" w:color="2E75B6" w:sz="6" w:space="1"/>
        </w:pBdr>
        <w:spacing w:before="400"/>
      </w:pPr>
    </w:p>
    <w:p>
      <w:pPr>
        <w:spacing w:after="200" w:line="276"/>
      </w:pPr>
      <w:r>
        <w:rPr>
          <w:rFonts w:ascii="Arial" w:cs="Arial" w:eastAsia="Arial" w:hAnsi="Arial"/>
          <w:i/>
          <w:iCs/>
          <w:sz w:val="22"/>
          <w:szCs w:val="22"/>
        </w:rPr>
        <w:t xml:space="preserve">This document is a position paper advancing a thesis for peer review and discussion. It extends the Chamber Sentinel framework to the medical device domain and should be read in conjunction with the core Chamber Sentinel position paper and the connected vehicle analysis. The authors welcome critical engagement, particularly from clinical electrophysiologists, device security researchers, regulatory specialists, and patient advocates.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2026-04-08T07:59:47.984Z</dcterms:created>
  <dcterms:modified xsi:type="dcterms:W3CDTF">2026-04-08T07:59:47.985Z</dcterms:modified>
</cp:coreProperties>
</file>

<file path=docProps/custom.xml><?xml version="1.0" encoding="utf-8"?>
<Properties xmlns="http://schemas.openxmlformats.org/officeDocument/2006/custom-properties" xmlns:vt="http://schemas.openxmlformats.org/officeDocument/2006/docPropsVTypes"/>
</file>