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2"/>
          <w:szCs w:val="52"/>
        </w:rPr>
        <w:t xml:space="preserve">CHAMBER SENTINEL</w:t>
      </w:r>
    </w:p>
    <w:p>
      <w:pPr>
        <w:spacing w:after="100"/>
        <w:jc w:val="center"/>
      </w:pPr>
      <w:r>
        <w:rPr>
          <w:rFonts w:ascii="Arial" w:cs="Arial" w:eastAsia="Arial" w:hAnsi="Arial"/>
          <w:color w:val="2E75B6"/>
          <w:sz w:val="40"/>
          <w:szCs w:val="40"/>
        </w:rPr>
        <w:t xml:space="preserve">Applied to Medical Devices</w:t>
      </w:r>
    </w:p>
    <w:p>
      <w:pPr>
        <w:pBdr>
          <w:bottom w:val="single" w:color="2E75B6" w:sz="6" w:space="1"/>
        </w:pBdr>
        <w:spacing w:after="400"/>
        <w:jc w:val="center"/>
      </w:pPr>
    </w:p>
    <w:p>
      <w:pPr>
        <w:spacing w:after="100"/>
        <w:jc w:val="center"/>
      </w:pPr>
      <w:r>
        <w:rPr>
          <w:rFonts w:ascii="Arial" w:cs="Arial" w:eastAsia="Arial" w:hAnsi="Arial"/>
          <w:color w:val="444444"/>
          <w:sz w:val="28"/>
          <w:szCs w:val="28"/>
        </w:rPr>
        <w:t xml:space="preserve">Companion Analysis: Insulin Pumps and</w:t>
      </w:r>
    </w:p>
    <w:p>
      <w:pPr>
        <w:spacing w:after="600"/>
        <w:jc w:val="center"/>
      </w:pPr>
      <w:r>
        <w:rPr>
          <w:rFonts w:ascii="Arial" w:cs="Arial" w:eastAsia="Arial" w:hAnsi="Arial"/>
          <w:color w:val="444444"/>
          <w:sz w:val="28"/>
          <w:szCs w:val="28"/>
        </w:rPr>
        <w:t xml:space="preserve">Continuous Glucose Monitoring Systems</w:t>
      </w:r>
    </w:p>
    <w:p>
      <w:pPr>
        <w:spacing w:after="100"/>
        <w:jc w:val="center"/>
      </w:pPr>
      <w:r>
        <w:rPr>
          <w:rFonts w:ascii="Arial" w:cs="Arial" w:eastAsia="Arial" w:hAnsi="Arial"/>
          <w:color w:val="666666"/>
          <w:sz w:val="22"/>
          <w:szCs w:val="22"/>
        </w:rPr>
        <w:t xml:space="preserve">Position Paper — April 2026 — Revised Draft</w:t>
      </w:r>
    </w:p>
    <w:p>
      <w:pPr>
        <w:jc w:val="center"/>
      </w:pPr>
      <w:r>
        <w:rPr>
          <w:rFonts w:ascii="Arial" w:cs="Arial" w:eastAsia="Arial" w:hAnsi="Arial"/>
          <w:b/>
          <w:bCs/>
          <w:color w:val="2E75B6"/>
          <w:sz w:val="22"/>
          <w:szCs w:val="22"/>
        </w:rPr>
        <w:t xml:space="preserve">DRAFT FOR PEER REVIEW</w:t>
      </w:r>
    </w:p>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200" w:line="276"/>
      </w:pPr>
      <w:r>
        <w:rPr>
          <w:rFonts w:ascii="Arial" w:cs="Arial" w:eastAsia="Arial" w:hAnsi="Arial"/>
          <w:sz w:val="22"/>
          <w:szCs w:val="22"/>
        </w:rPr>
        <w:t xml:space="preserve">This companion paper extends the Chamber Sentinel burden-of-justification framework to insulin pump and continuous glucose monitoring (CGM) systems. Where the primary paper analysed pacemakers — implanted devices with manufacturer-controlled cloud intermediation — this paper examines a structurally different ecosystem: wearable, patient-operated devices with higher data volumes, a richer third-party app ecosystem, a regulatory gap in which CGM data held by manufacturers may fall outside HIPAA’s protections, and a blurring boundary between medical device and consumer wellness product.</w:t>
      </w:r>
    </w:p>
    <w:p>
      <w:pPr>
        <w:spacing w:after="200" w:line="276"/>
      </w:pPr>
      <w:r>
        <w:rPr>
          <w:rFonts w:ascii="Arial" w:cs="Arial" w:eastAsia="Arial" w:hAnsi="Arial"/>
          <w:sz w:val="22"/>
          <w:szCs w:val="22"/>
        </w:rPr>
        <w:t xml:space="preserve">The same governing question applies: do current persistence defaults represent the minimum necessary for clinical safety? We find that the structural patterns identified in the pacemaker analysis recur, but that the insulin pump/CGM ecosystem introduces three challenges the pacemaker analysis did not fully expose: a third-party data distribution layer with no burn semantics; a real-time therapeutic data dependency that constrains where burn boundaries can be drawn; and a consumer wellness crossover that may cause the framework’s clinical-safety justification to collapse for non-patient users. This revised draft also develops a theory of harm for indefinite persistence, engages with counterarguments for manufacturer retention, and addresses paediatric custodial transitions.</w:t>
      </w:r>
    </w:p>
    <w:p>
      <w:pPr>
        <w:pStyle w:val="Heading1"/>
      </w:pPr>
      <w:r>
        <w:t xml:space="preserve">2. Relationship to the Primary Analysis</w:t>
      </w:r>
    </w:p>
    <w:p>
      <w:pPr>
        <w:spacing w:after="200" w:line="276"/>
      </w:pPr>
      <w:r>
        <w:rPr>
          <w:rFonts w:ascii="Arial" w:cs="Arial" w:eastAsia="Arial" w:hAnsi="Arial"/>
          <w:sz w:val="22"/>
          <w:szCs w:val="22"/>
        </w:rPr>
        <w:t xml:space="preserve">This paper should be read alongside the primary Chamber Sentinel medical devices paper, which establishes the framework’s core principles, methodology, and pacemaker analysis. We do not repeat the theoretical foundation here.</w:t>
      </w:r>
    </w:p>
    <w:p>
      <w:pPr>
        <w:spacing w:after="200" w:line="276"/>
      </w:pPr>
      <w:r>
        <w:rPr>
          <w:rFonts w:ascii="Arial" w:cs="Arial" w:eastAsia="Arial" w:hAnsi="Arial"/>
          <w:sz w:val="22"/>
          <w:szCs w:val="22"/>
        </w:rPr>
        <w:t xml:space="preserve">The purpose of analysing a second device class is to test the framework’s generalisability. If the same structural patterns appear in a device ecosystem with different technical characteristics, the framework’s explanatory power is strengthened. If the adaptations required are so substantial that the framework becomes unrecognisable, the framework is better understood as a family resemblance than a unified architecture. We find the answer lies between these poles: the core insight generalises, but the required calibration is significant enough that “applying the framework” means domain-specific redesign, not mechanical transposition.</w:t>
      </w:r>
    </w:p>
    <w:p>
      <w:pPr>
        <w:pStyle w:val="Heading1"/>
      </w:pPr>
      <w:r>
        <w:t xml:space="preserve">3. The Insulin Pump / CGM Data Ecosystem</w:t>
      </w:r>
    </w:p>
    <w:p>
      <w:pPr>
        <w:pStyle w:val="Heading2"/>
      </w:pPr>
      <w:r>
        <w:t xml:space="preserve">3.1 Device Landscape</w:t>
      </w:r>
    </w:p>
    <w:p>
      <w:pPr>
        <w:spacing w:after="200" w:line="276"/>
      </w:pPr>
      <w:r>
        <w:rPr>
          <w:rFonts w:ascii="Arial" w:cs="Arial" w:eastAsia="Arial" w:hAnsi="Arial"/>
          <w:b/>
          <w:bCs/>
          <w:sz w:val="22"/>
          <w:szCs w:val="22"/>
        </w:rPr>
        <w:t xml:space="preserve">Continuous glucose monitors (CGMs). </w:t>
      </w:r>
      <w:r>
        <w:rPr>
          <w:rFonts w:ascii="Arial" w:cs="Arial" w:eastAsia="Arial" w:hAnsi="Arial"/>
          <w:sz w:val="22"/>
          <w:szCs w:val="22"/>
        </w:rPr>
        <w:t xml:space="preserve">Wearable sensors (Dexcom G7, Abbott FreeStyle Libre 3, Medtronic Guardian 4, Senseonics Eversense 365) measuring interstitial glucose every 1–5 minutes, transmitting via Bluetooth to a smartphone app or receiver. Sensors are replaced every 7–365 days. A single CGM generates approximately 288 readings per day — over 100,000 per year per patient.</w:t>
      </w:r>
    </w:p>
    <w:p>
      <w:pPr>
        <w:spacing w:after="200" w:line="276"/>
      </w:pPr>
      <w:r>
        <w:rPr>
          <w:rFonts w:ascii="Arial" w:cs="Arial" w:eastAsia="Arial" w:hAnsi="Arial"/>
          <w:b/>
          <w:bCs/>
          <w:sz w:val="22"/>
          <w:szCs w:val="22"/>
        </w:rPr>
        <w:t xml:space="preserve">Insulin pumps. </w:t>
      </w:r>
      <w:r>
        <w:rPr>
          <w:rFonts w:ascii="Arial" w:cs="Arial" w:eastAsia="Arial" w:hAnsi="Arial"/>
          <w:sz w:val="22"/>
          <w:szCs w:val="22"/>
        </w:rPr>
        <w:t xml:space="preserve">Wearable or patch pumps (Tandem t:slim X2/Mobi, Insulet Omnipod 5, Medtronic MiniMed 780G, Ypsomed YpsoPump) delivering basal and bolus insulin. These log every delivery event, rate change, and user interaction.</w:t>
      </w:r>
    </w:p>
    <w:p>
      <w:pPr>
        <w:spacing w:after="200" w:line="276"/>
      </w:pPr>
      <w:r>
        <w:rPr>
          <w:rFonts w:ascii="Arial" w:cs="Arial" w:eastAsia="Arial" w:hAnsi="Arial"/>
          <w:b/>
          <w:bCs/>
          <w:sz w:val="22"/>
          <w:szCs w:val="22"/>
        </w:rPr>
        <w:t xml:space="preserve">Automated insulin delivery (AID) systems. </w:t>
      </w:r>
      <w:r>
        <w:rPr>
          <w:rFonts w:ascii="Arial" w:cs="Arial" w:eastAsia="Arial" w:hAnsi="Arial"/>
          <w:sz w:val="22"/>
          <w:szCs w:val="22"/>
        </w:rPr>
        <w:t xml:space="preserve">Closed-loop or hybrid closed-loop systems connecting CGM to pump via algorithm (Control-IQ, Omnipod 5, CamAPS FX, Tidepool Loop). These generate additional algorithmic decision data: predicted glucose, automatic adjustments, insulin-on-board calculations.</w:t>
      </w:r>
    </w:p>
    <w:p>
      <w:pPr>
        <w:spacing w:after="200" w:line="276"/>
      </w:pPr>
      <w:r>
        <w:rPr>
          <w:rFonts w:ascii="Arial" w:cs="Arial" w:eastAsia="Arial" w:hAnsi="Arial"/>
          <w:b/>
          <w:bCs/>
          <w:sz w:val="22"/>
          <w:szCs w:val="22"/>
        </w:rPr>
        <w:t xml:space="preserve">Connected insulin pens. </w:t>
      </w:r>
      <w:r>
        <w:rPr>
          <w:rFonts w:ascii="Arial" w:cs="Arial" w:eastAsia="Arial" w:hAnsi="Arial"/>
          <w:sz w:val="22"/>
          <w:szCs w:val="22"/>
        </w:rPr>
        <w:t xml:space="preserve">Smart pens (Novo Nordisk NovoPen 6/Echo Plus, Lilly Tempo) logging injection doses and timing.</w:t>
      </w:r>
    </w:p>
    <w:p>
      <w:pPr>
        <w:spacing w:after="200" w:line="276"/>
      </w:pPr>
      <w:r>
        <w:rPr>
          <w:rFonts w:ascii="Arial" w:cs="Arial" w:eastAsia="Arial" w:hAnsi="Arial"/>
          <w:b/>
          <w:bCs/>
          <w:sz w:val="22"/>
          <w:szCs w:val="22"/>
        </w:rPr>
        <w:t xml:space="preserve">Third-party apps and platforms. </w:t>
      </w:r>
      <w:r>
        <w:rPr>
          <w:rFonts w:ascii="Arial" w:cs="Arial" w:eastAsia="Arial" w:hAnsi="Arial"/>
          <w:sz w:val="22"/>
          <w:szCs w:val="22"/>
        </w:rPr>
        <w:t xml:space="preserve">Aggregators like Tidepool, Glooko/Diasend, and manufacturer platforms (Dexcom Clarity, Tandem Source, Abbott LibreView, Medtronic CareLink) consolidating data from multiple devices. Dexcom alone lists over 90 connected health apps.</w:t>
      </w:r>
    </w:p>
    <w:p>
      <w:pPr>
        <w:pStyle w:val="Heading2"/>
      </w:pPr>
      <w:r>
        <w:t xml:space="preserve">3.2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700"/>
        <w:gridCol w:w="27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Persistence</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 Sensor/Pump</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On-device storage</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Glucose readings (1–5 min intervals), insulin delivery logs, basal rates, bolus history, alarms, AID algorithm decisions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Sensor: until expiry (7–365 days). Pump: rolling buffer, 30–90 days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Device → Phone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to manufacturer app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glucose, trends, alerts, insulin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in app; some retain local history</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 Phone → Mfr Cloud</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Upload to manufacturer platform (Clarity, LibreView, CareLink, Source)</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All device data plus app metadata, identifiers, account info</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Appears indefinite. Dexcom: data remains “as long as the product is available for use”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Mfr Cloud → Clinician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Clinician accesses reports via manufacturer portal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AGP reports, time-in-range, glucose patterns, insulin summaries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Retained in mfr cloud; clinician may download to EMR</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 Third-Party Apps</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User-authorised sharing via APIs</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Glucose, insulin, activity, meal logs, health events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Varies by app; each has own retention policy; re-sharing common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Aggregated Pools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Population-level datasets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De-identified (claimed) aggregate statistics, RWE datasets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Indefinite; feeds R&amp;D, regulatory filings, commercial partnerships</w:t>
            </w:r>
          </w:p>
        </w:tc>
      </w:tr>
    </w:tbl>
    <w:p>
      <w:pPr>
        <w:spacing w:after="200"/>
      </w:pPr>
    </w:p>
    <w:p>
      <w:pPr>
        <w:pStyle w:val="Heading2"/>
      </w:pPr>
      <w:r>
        <w:t xml:space="preserve">3.3 Key Structural Differences from Pacemakers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Pacemakers</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Insulin Pumps / CGMs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Data volume</w:t>
            </w:r>
          </w:p>
        </w:tc>
        <w:tc>
          <w:tcPr>
            <w:tcW w:type="dxa" w:w="35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Low: periodic transmissions</w:t>
            </w:r>
          </w:p>
        </w:tc>
        <w:tc>
          <w:tcPr>
            <w:tcW w:type="dxa" w:w="35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Very high: 288+ glucose readings/day, continuous insulin logs, AID decisions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lifespan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 years (implanted)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 7–365 days. Pump: 4 years. Frequent replacement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Intermediary structure</w:t>
            </w:r>
          </w:p>
        </w:tc>
        <w:tc>
          <w:tcPr>
            <w:tcW w:type="dxa" w:w="35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Single manufacturer cloud; no third-party sharing</w:t>
            </w:r>
          </w:p>
        </w:tc>
        <w:tc>
          <w:tcPr>
            <w:tcW w:type="dxa" w:w="35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Manufacturer cloud plus 90+ third-party apps via APIs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population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Skews older; many elderly, cognitively impaired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Includes many children/adolescents (T1D). More technically engaged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Real-time therapeutic dependency</w:t>
            </w:r>
          </w:p>
        </w:tc>
        <w:tc>
          <w:tcPr>
            <w:tcW w:type="dxa" w:w="35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Device paces autonomously; data is for monitoring</w:t>
            </w:r>
          </w:p>
        </w:tc>
        <w:tc>
          <w:tcPr>
            <w:tcW w:type="dxa" w:w="35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Real-time glucose drives insulin dosing. Data loss has immediate therapeutic consequences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coverage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Unambiguously medical devices; HIPAA applies via HCPs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devices, but mfr-held data may fall outside HIPAA. Consumer wellness products blur the line further</w:t>
            </w:r>
          </w:p>
        </w:tc>
      </w:tr>
    </w:tbl>
    <w:p>
      <w:pPr>
        <w:spacing w:after="200"/>
      </w:pPr>
    </w:p>
    <w:p>
      <w:pPr>
        <w:pStyle w:val="Heading2"/>
      </w:pPr>
      <w:r>
        <w:t xml:space="preserve">3.4 The Regulatory Gap</w:t>
      </w:r>
    </w:p>
    <w:p>
      <w:pPr>
        <w:spacing w:after="200" w:line="276"/>
      </w:pPr>
      <w:r>
        <w:rPr>
          <w:rFonts w:ascii="Arial" w:cs="Arial" w:eastAsia="Arial" w:hAnsi="Arial"/>
          <w:sz w:val="22"/>
          <w:szCs w:val="22"/>
        </w:rPr>
        <w:t xml:space="preserve">Published legal analysis has established that CGM data held by manufacturers does not always receive equivalent protection to health data held by HCPs. While HIPAA’s Privacy Rule applies when a covered entity or business associate holds the data, CGM manufacturers may not qualify as either in all contexts. The patient’s data in the manufacturer’s cloud may face fewer legal constraints than the same data in their clinician’s EMR.</w:t>
      </w:r>
    </w:p>
    <w:p>
      <w:pPr>
        <w:spacing w:after="200" w:line="276"/>
      </w:pPr>
      <w:r>
        <w:rPr>
          <w:rFonts w:ascii="Arial" w:cs="Arial" w:eastAsia="Arial" w:hAnsi="Arial"/>
          <w:sz w:val="22"/>
          <w:szCs w:val="22"/>
        </w:rPr>
        <w:t xml:space="preserve">This gap widens further with consumer wellness positioning. Dexcom’s Stelo product, marketed to people without diabetes, generates the same type of glucose data through the same cloud architecture but positions the user as a consumer, not a patient. The regulatory implications are materially different even though the data architecture is identical.</w:t>
      </w:r>
    </w:p>
    <w:p>
      <w:pPr>
        <w:pStyle w:val="Heading1"/>
      </w:pPr>
      <w:r>
        <w:t xml:space="preserve">4. A Theory of Harm for Indefinite Persistence</w:t>
      </w:r>
    </w:p>
    <w:p>
      <w:pPr>
        <w:spacing w:after="200" w:line="276"/>
      </w:pPr>
      <w:r>
        <w:rPr>
          <w:rFonts w:ascii="Arial" w:cs="Arial" w:eastAsia="Arial" w:hAnsi="Arial"/>
          <w:sz w:val="22"/>
          <w:szCs w:val="22"/>
        </w:rPr>
        <w:t xml:space="preserve">The first draft of this paper asserted that indefinite manufacturer retention of glucose data is problematic without arguing why. Peer review correctly demanded a theory of harm. What, concretely, is the cost to a patient of Dexcom keeping their glucose readings from three years ago?</w:t>
      </w:r>
    </w:p>
    <w:p>
      <w:pPr>
        <w:spacing w:after="200" w:line="276"/>
      </w:pPr>
      <w:r>
        <w:rPr>
          <w:rFonts w:ascii="Arial" w:cs="Arial" w:eastAsia="Arial" w:hAnsi="Arial"/>
          <w:sz w:val="22"/>
          <w:szCs w:val="22"/>
        </w:rPr>
        <w:t xml:space="preserve">We propose that the harms of indefinite persistence fall into five categories, arranged from most concrete to most speculative:</w:t>
      </w:r>
    </w:p>
    <w:p>
      <w:pPr>
        <w:spacing w:after="200" w:line="276"/>
      </w:pPr>
      <w:r>
        <w:rPr>
          <w:rFonts w:ascii="Arial" w:cs="Arial" w:eastAsia="Arial" w:hAnsi="Arial"/>
          <w:b/>
          <w:bCs/>
          <w:sz w:val="22"/>
          <w:szCs w:val="22"/>
        </w:rPr>
        <w:t xml:space="preserve">1. Cybersecurity exposure (concrete). </w:t>
      </w:r>
      <w:r>
        <w:rPr>
          <w:rFonts w:ascii="Arial" w:cs="Arial" w:eastAsia="Arial" w:hAnsi="Arial"/>
          <w:sz w:val="22"/>
          <w:szCs w:val="22"/>
        </w:rPr>
        <w:t xml:space="preserve">Every persistence point is a potential exfiltration point. A manufacturer cloud holding years of glucose data for millions of patients is a high-value target. The WhiteScope pacemaker audit and subsequent CGM/pump vulnerability disclosures demonstrate that medical device ecosystems have systemic security weaknesses. Data that has been burned cannot be exfiltrated in a future breach. This harm is not speculative — healthcare data breaches are frequent and well-documented.</w:t>
      </w:r>
    </w:p>
    <w:p>
      <w:pPr>
        <w:spacing w:after="200" w:line="276"/>
      </w:pPr>
      <w:r>
        <w:rPr>
          <w:rFonts w:ascii="Arial" w:cs="Arial" w:eastAsia="Arial" w:hAnsi="Arial"/>
          <w:b/>
          <w:bCs/>
          <w:sz w:val="22"/>
          <w:szCs w:val="22"/>
        </w:rPr>
        <w:t xml:space="preserve">2. Function creep (demonstrated pattern). </w:t>
      </w:r>
      <w:r>
        <w:rPr>
          <w:rFonts w:ascii="Arial" w:cs="Arial" w:eastAsia="Arial" w:hAnsi="Arial"/>
          <w:sz w:val="22"/>
          <w:szCs w:val="22"/>
        </w:rPr>
        <w:t xml:space="preserve">Data collected for one purpose tends to be repurposed. Manufacturer privacy policies reserve broad rights to use data for “improving products and services,” sharing with “business partners,” and supporting “research.” These categories are elastic. Glucose data collected for clinical monitoring can be used for insurance risk modelling, pharmaceutical market research, employer wellness programme analytics, and advertising targeting — all without the patient being aware that their specific data contributed. The harm is not hypothetical: it is the predictable trajectory of any large-scale health data asset.</w:t>
      </w:r>
    </w:p>
    <w:p>
      <w:pPr>
        <w:spacing w:after="200" w:line="276"/>
      </w:pPr>
      <w:r>
        <w:rPr>
          <w:rFonts w:ascii="Arial" w:cs="Arial" w:eastAsia="Arial" w:hAnsi="Arial"/>
          <w:b/>
          <w:bCs/>
          <w:sz w:val="22"/>
          <w:szCs w:val="22"/>
        </w:rPr>
        <w:t xml:space="preserve">3. Inferential richness (growing risk). </w:t>
      </w:r>
      <w:r>
        <w:rPr>
          <w:rFonts w:ascii="Arial" w:cs="Arial" w:eastAsia="Arial" w:hAnsi="Arial"/>
          <w:sz w:val="22"/>
          <w:szCs w:val="22"/>
        </w:rPr>
        <w:t xml:space="preserve">A continuous glucose trace is not merely a diabetes metric. It reveals sleep patterns, meal timing and composition, alcohol consumption, stress responses, menstrual cycles, medication adherence, and exercise habits. As analytical techniques improve, the inferential yield of historical glucose data will increase. Data that is innocuous today may become deeply revealing tomorrow. Indefinite persistence means patients cannot anticipate what their data will reveal to future analytical methods.</w:t>
      </w:r>
    </w:p>
    <w:p>
      <w:pPr>
        <w:spacing w:after="200" w:line="276"/>
      </w:pPr>
      <w:r>
        <w:rPr>
          <w:rFonts w:ascii="Arial" w:cs="Arial" w:eastAsia="Arial" w:hAnsi="Arial"/>
          <w:b/>
          <w:bCs/>
          <w:sz w:val="22"/>
          <w:szCs w:val="22"/>
        </w:rPr>
        <w:t xml:space="preserve">4. Loss of practical revocability (structural). </w:t>
      </w:r>
      <w:r>
        <w:rPr>
          <w:rFonts w:ascii="Arial" w:cs="Arial" w:eastAsia="Arial" w:hAnsi="Arial"/>
          <w:sz w:val="22"/>
          <w:szCs w:val="22"/>
        </w:rPr>
        <w:t xml:space="preserve">Dexcom’s terms state that once data is shared with a third party via API, the manufacturer has “no further control or responsibility.” With 90+ connected apps, each with its own downstream sharing, the practical ability of a patient to revoke access to their glucose history diminishes toward zero over time. Every additional day of persistence in the manufacturer’s cloud is another day during which the data may be shared, re-shared, or copied into systems the patient will never know about. This is a structural harm: the longer data persists at the distribution hub, the more widely it propagates.</w:t>
      </w:r>
    </w:p>
    <w:p>
      <w:pPr>
        <w:spacing w:after="200" w:line="276"/>
      </w:pPr>
      <w:r>
        <w:rPr>
          <w:rFonts w:ascii="Arial" w:cs="Arial" w:eastAsia="Arial" w:hAnsi="Arial"/>
          <w:b/>
          <w:bCs/>
          <w:sz w:val="22"/>
          <w:szCs w:val="22"/>
        </w:rPr>
        <w:t xml:space="preserve">5. Power asymmetry entrenchment (systemic). </w:t>
      </w:r>
      <w:r>
        <w:rPr>
          <w:rFonts w:ascii="Arial" w:cs="Arial" w:eastAsia="Arial" w:hAnsi="Arial"/>
          <w:sz w:val="22"/>
          <w:szCs w:val="22"/>
        </w:rPr>
        <w:t xml:space="preserve">The manufacturer’s indefinite accumulation of patient data creates a structural dependency. Patients cannot meaningfully switch manufacturers if their longitudinal health record is locked in a proprietary cloud. Clinicians become dependent on manufacturer portals for patient data access. The data asset becomes a competitive moat, and the patient’s freedom of choice is constrained by the practical impossibility of migrating years of health data. This is the least immediately tangible harm, but it is arguably the most structurally significant.</w:t>
      </w:r>
    </w:p>
    <w:p>
      <w:pPr>
        <w:spacing w:after="200" w:line="276"/>
      </w:pPr>
      <w:r>
        <w:rPr>
          <w:rFonts w:ascii="Arial" w:cs="Arial" w:eastAsia="Arial" w:hAnsi="Arial"/>
          <w:sz w:val="22"/>
          <w:szCs w:val="22"/>
        </w:rPr>
        <w:t xml:space="preserve">Not all of these harms will materialise for every patient. But the burden-of-justification framework does not require proving that harm will occur; it requires asking whether the retention that creates the risk of harm is justified by a demonstrated safety necessity. If it is not, the risk should not be imposed.</w:t>
      </w:r>
    </w:p>
    <w:p>
      <w:pPr>
        <w:pStyle w:val="Heading1"/>
      </w:pPr>
      <w:r>
        <w:t xml:space="preserve">5. Counterarguments for Manufacturer Retention</w:t>
      </w:r>
    </w:p>
    <w:p>
      <w:pPr>
        <w:spacing w:after="200" w:line="276"/>
      </w:pPr>
      <w:r>
        <w:rPr>
          <w:rFonts w:ascii="Arial" w:cs="Arial" w:eastAsia="Arial" w:hAnsi="Arial"/>
          <w:sz w:val="22"/>
          <w:szCs w:val="22"/>
        </w:rPr>
        <w:t xml:space="preserve">The first draft did not engage seriously with arguments in favour of indefinite manufacturer retention. This is a weakness. If the framework is to be taken seriously by manufacturers and regulators, it must confront the strongest case for the status quo.</w:t>
      </w:r>
    </w:p>
    <w:p>
      <w:pPr>
        <w:pStyle w:val="Heading2"/>
      </w:pPr>
      <w:r>
        <w:t xml:space="preserve">5.1 Retrospective Safety Signal Detection</w:t>
      </w:r>
    </w:p>
    <w:p>
      <w:pPr>
        <w:spacing w:after="200" w:line="276"/>
      </w:pPr>
      <w:r>
        <w:rPr>
          <w:rFonts w:ascii="Arial" w:cs="Arial" w:eastAsia="Arial" w:hAnsi="Arial"/>
          <w:sz w:val="22"/>
          <w:szCs w:val="22"/>
        </w:rPr>
        <w:t xml:space="preserve">Manufacturers argue that long-term data retention enables detection of safety signals that only become apparent over time — for example, a sensor accuracy degradation pattern that takes years to manifest, or a correlation between historical glucose variability and later adverse outcomes.</w:t>
      </w:r>
    </w:p>
    <w:p>
      <w:pPr>
        <w:spacing w:after="200" w:line="276"/>
      </w:pPr>
      <w:r>
        <w:rPr>
          <w:rFonts w:ascii="Arial" w:cs="Arial" w:eastAsia="Arial" w:hAnsi="Arial"/>
          <w:b/>
          <w:bCs/>
          <w:sz w:val="22"/>
          <w:szCs w:val="22"/>
        </w:rPr>
        <w:t xml:space="preserve">Framework response: </w:t>
      </w:r>
      <w:r>
        <w:rPr>
          <w:rFonts w:ascii="Arial" w:cs="Arial" w:eastAsia="Arial" w:hAnsi="Arial"/>
          <w:sz w:val="22"/>
          <w:szCs w:val="22"/>
        </w:rPr>
        <w:t xml:space="preserve">This is a legitimate interest, but it is a population-level research function, not an individual-patient safety function. It can be served by the Research channel (consent-gated, governed, with aggregable/non-aggregable distinction as defined in the primary paper). It does not require indefinite retention of raw individual-level data in the manufacturer’s operational cloud. The claim that safety signal detection requires the current default — indefinite retention of identified data in an operational system with broad access — overreaches. A dedicated research repository with appropriate governance would serve the same purpose with less risk.</w:t>
      </w:r>
    </w:p>
    <w:p>
      <w:pPr>
        <w:pStyle w:val="Heading2"/>
      </w:pPr>
      <w:r>
        <w:t xml:space="preserve">5.2 Longitudinal Outcome Studies</w:t>
      </w:r>
    </w:p>
    <w:p>
      <w:pPr>
        <w:spacing w:after="200" w:line="276"/>
      </w:pPr>
      <w:r>
        <w:rPr>
          <w:rFonts w:ascii="Arial" w:cs="Arial" w:eastAsia="Arial" w:hAnsi="Arial"/>
          <w:sz w:val="22"/>
          <w:szCs w:val="22"/>
        </w:rPr>
        <w:t xml:space="preserve">Historical CGM data enables longitudinal studies correlating glucose management patterns with long-term health outcomes (retinopathy, nephropathy, cardiovascular events). These studies have genuine clinical value.</w:t>
      </w:r>
    </w:p>
    <w:p>
      <w:pPr>
        <w:spacing w:after="200" w:line="276"/>
      </w:pPr>
      <w:r>
        <w:rPr>
          <w:rFonts w:ascii="Arial" w:cs="Arial" w:eastAsia="Arial" w:hAnsi="Arial"/>
          <w:b/>
          <w:bCs/>
          <w:sz w:val="22"/>
          <w:szCs w:val="22"/>
        </w:rPr>
        <w:t xml:space="preserve">Framework response: </w:t>
      </w:r>
      <w:r>
        <w:rPr>
          <w:rFonts w:ascii="Arial" w:cs="Arial" w:eastAsia="Arial" w:hAnsi="Arial"/>
          <w:sz w:val="22"/>
          <w:szCs w:val="22"/>
        </w:rPr>
        <w:t xml:space="preserve">Again, this is a research function. It requires explicit consent, IRB/ethics review, defined retention periods, and de-identification or governance appropriate to the research protocol. The framework’s Research channel accommodates this. The question is not whether this data should ever be used for research, but whether it should sit indefinitely in an operational manufacturer cloud, available for any purpose the privacy policy permits, as the mechanism for enabling research. We argue it should not.</w:t>
      </w:r>
    </w:p>
    <w:p>
      <w:pPr>
        <w:pStyle w:val="Heading2"/>
      </w:pPr>
      <w:r>
        <w:t xml:space="preserve">5.3 Algorithm Training</w:t>
      </w:r>
    </w:p>
    <w:p>
      <w:pPr>
        <w:spacing w:after="200" w:line="276"/>
      </w:pPr>
      <w:r>
        <w:rPr>
          <w:rFonts w:ascii="Arial" w:cs="Arial" w:eastAsia="Arial" w:hAnsi="Arial"/>
          <w:sz w:val="22"/>
          <w:szCs w:val="22"/>
        </w:rPr>
        <w:t xml:space="preserve">AID algorithms improve through training on large datasets of real-world glucose and insulin delivery data. Manufacturers argue that retaining raw historical data is essential for algorithm development that directly benefits patients.</w:t>
      </w:r>
    </w:p>
    <w:p>
      <w:pPr>
        <w:spacing w:after="200" w:line="276"/>
      </w:pPr>
      <w:r>
        <w:rPr>
          <w:rFonts w:ascii="Arial" w:cs="Arial" w:eastAsia="Arial" w:hAnsi="Arial"/>
          <w:b/>
          <w:bCs/>
          <w:sz w:val="22"/>
          <w:szCs w:val="22"/>
        </w:rPr>
        <w:t xml:space="preserve">Framework response: </w:t>
      </w:r>
      <w:r>
        <w:rPr>
          <w:rFonts w:ascii="Arial" w:cs="Arial" w:eastAsia="Arial" w:hAnsi="Arial"/>
          <w:sz w:val="22"/>
          <w:szCs w:val="22"/>
        </w:rPr>
        <w:t xml:space="preserve">This is the strongest counterargument because it has a plausible direct patient benefit (better algorithms for future patients). We acknowledge it candidly. The framework’s response is not “no algorithm training” but “algorithm training through governed channels.” The Research world’s non-aggregable data pathway (explicit consent, defined retention, ethics review) is designed for exactly this use case. We also note that manufacturers could extract training value during the permitted retention window rather than requiring indefinite access. Whether this is sufficient for state-of-the-art algorithm development is an empirical question we cannot answer; we flag it as a genuine trade-off rather than dismissing it.</w:t>
      </w:r>
    </w:p>
    <w:p>
      <w:pPr>
        <w:pStyle w:val="Heading2"/>
      </w:pPr>
      <w:r>
        <w:t xml:space="preserve">5.4 Care Continuity and Patient Convenience</w:t>
      </w:r>
    </w:p>
    <w:p>
      <w:pPr>
        <w:spacing w:after="200" w:line="276"/>
      </w:pPr>
      <w:r>
        <w:rPr>
          <w:rFonts w:ascii="Arial" w:cs="Arial" w:eastAsia="Arial" w:hAnsi="Arial"/>
          <w:sz w:val="22"/>
          <w:szCs w:val="22"/>
        </w:rPr>
        <w:t xml:space="preserve">Many patients value having their complete glucose history available in a single manufacturer platform, accessible to any clinician they see. The manufacturer cloud provides this convenience.</w:t>
      </w:r>
    </w:p>
    <w:p>
      <w:pPr>
        <w:spacing w:after="200" w:line="276"/>
      </w:pPr>
      <w:r>
        <w:rPr>
          <w:rFonts w:ascii="Arial" w:cs="Arial" w:eastAsia="Arial" w:hAnsi="Arial"/>
          <w:b/>
          <w:bCs/>
          <w:sz w:val="22"/>
          <w:szCs w:val="22"/>
        </w:rPr>
        <w:t xml:space="preserve">Framework response: </w:t>
      </w:r>
      <w:r>
        <w:rPr>
          <w:rFonts w:ascii="Arial" w:cs="Arial" w:eastAsia="Arial" w:hAnsi="Arial"/>
          <w:sz w:val="22"/>
          <w:szCs w:val="22"/>
        </w:rPr>
        <w:t xml:space="preserve">This is addressed by the portable record proposal and by patient-elected persistence (Section 7.5). Patients who want manufacturer retention should be able to choose it. The framework’s objection is to the default, not to the option. Making persistence opt-in rather than default preserves patient autonomy without forcing sovereignty on patients who do not want it.</w:t>
      </w:r>
    </w:p>
    <w:p>
      <w:pPr>
        <w:pStyle w:val="Heading2"/>
      </w:pPr>
      <w:r>
        <w:t xml:space="preserve">5.5 Manufacturer Behavioural Responses</w:t>
      </w:r>
    </w:p>
    <w:p>
      <w:pPr>
        <w:spacing w:after="200" w:line="276"/>
      </w:pPr>
      <w:r>
        <w:rPr>
          <w:rFonts w:ascii="Arial" w:cs="Arial" w:eastAsia="Arial" w:hAnsi="Arial"/>
          <w:sz w:val="22"/>
          <w:szCs w:val="22"/>
        </w:rPr>
        <w:t xml:space="preserve">A concern raised in review: if raw data cannot be retained indefinitely, manufacturers might extract more value during the permitted retention window — more aggressive algorithm training, more frequent data exports to partners, more granular logging during the relay period.</w:t>
      </w:r>
    </w:p>
    <w:p>
      <w:pPr>
        <w:spacing w:after="200" w:line="276"/>
      </w:pPr>
      <w:r>
        <w:rPr>
          <w:rFonts w:ascii="Arial" w:cs="Arial" w:eastAsia="Arial" w:hAnsi="Arial"/>
          <w:b/>
          <w:bCs/>
          <w:sz w:val="22"/>
          <w:szCs w:val="22"/>
        </w:rPr>
        <w:t xml:space="preserve">Framework response: </w:t>
      </w:r>
      <w:r>
        <w:rPr>
          <w:rFonts w:ascii="Arial" w:cs="Arial" w:eastAsia="Arial" w:hAnsi="Arial"/>
          <w:sz w:val="22"/>
          <w:szCs w:val="22"/>
        </w:rPr>
        <w:t xml:space="preserve">This is a valid concern that the framework does not fully address. Burn semantics constrain the duration of retention but not the intensity of use during that period. Additional governance — purpose limitation, use-based constraints, audit requirements — would be needed alongside burn schedules to prevent front-loading of value extraction. We flag this as an area where the framework’s architectural controls are insufficient alone and must be supplemented by regulatory or contractual mechanisms.</w:t>
      </w:r>
    </w:p>
    <w:p>
      <w:pPr>
        <w:pStyle w:val="Heading1"/>
      </w:pPr>
      <w:r>
        <w:t xml:space="preserve">6. Tentative Classification of Data Flows</w:t>
      </w:r>
    </w:p>
    <w:p>
      <w:pPr>
        <w:spacing w:after="200" w:line="276"/>
      </w:pPr>
      <w:r>
        <w:rPr>
          <w:rFonts w:ascii="Arial" w:cs="Arial" w:eastAsia="Arial" w:hAnsi="Arial"/>
          <w:i/>
          <w:iCs/>
          <w:sz w:val="22"/>
          <w:szCs w:val="22"/>
        </w:rPr>
        <w:t xml:space="preserve">These classifications reflect analytical judgment. They should be treated as hypotheses requiring clinical stakeholder validation.</w:t>
      </w:r>
    </w:p>
    <w:p>
      <w:pPr>
        <w:pStyle w:val="Heading2"/>
      </w:pPr>
      <w:r>
        <w:t xml:space="preserve">6.1 Safety-Required Persistence</w:t>
      </w:r>
    </w:p>
    <w:p>
      <w:pPr>
        <w:spacing w:after="200" w:line="276"/>
      </w:pPr>
      <w:r>
        <w:rPr>
          <w:rFonts w:ascii="Arial" w:cs="Arial" w:eastAsia="Arial" w:hAnsi="Arial"/>
          <w:b/>
          <w:bCs/>
          <w:sz w:val="22"/>
          <w:szCs w:val="22"/>
        </w:rPr>
        <w:t xml:space="preserve">Real-time glucose values and trend data. </w:t>
      </w:r>
      <w:r>
        <w:rPr>
          <w:rFonts w:ascii="Arial" w:cs="Arial" w:eastAsia="Arial" w:hAnsi="Arial"/>
          <w:sz w:val="22"/>
          <w:szCs w:val="22"/>
        </w:rPr>
        <w:t xml:space="preserve">Operationally essential for AID dosing. Must persist on-device and in the app for active therapy. No safety justification for a glucose reading from six months ago to persist in the manufacturer’s cloud. The safety utility is temporal: present and near-past, not historical archive.</w:t>
      </w:r>
    </w:p>
    <w:p>
      <w:pPr>
        <w:spacing w:after="200" w:line="276"/>
      </w:pPr>
      <w:r>
        <w:rPr>
          <w:rFonts w:ascii="Arial" w:cs="Arial" w:eastAsia="Arial" w:hAnsi="Arial"/>
          <w:b/>
          <w:bCs/>
          <w:sz w:val="22"/>
          <w:szCs w:val="22"/>
        </w:rPr>
        <w:t xml:space="preserve">Active insulin delivery state. </w:t>
      </w:r>
      <w:r>
        <w:rPr>
          <w:rFonts w:ascii="Arial" w:cs="Arial" w:eastAsia="Arial" w:hAnsi="Arial"/>
          <w:sz w:val="22"/>
          <w:szCs w:val="22"/>
        </w:rPr>
        <w:t xml:space="preserve">Current basal programme, insulin-on-board, active bolus. Operational state on-device.</w:t>
      </w:r>
    </w:p>
    <w:p>
      <w:pPr>
        <w:spacing w:after="200" w:line="276"/>
      </w:pPr>
      <w:r>
        <w:rPr>
          <w:rFonts w:ascii="Arial" w:cs="Arial" w:eastAsia="Arial" w:hAnsi="Arial"/>
          <w:b/>
          <w:bCs/>
          <w:sz w:val="22"/>
          <w:szCs w:val="22"/>
        </w:rPr>
        <w:t xml:space="preserve">Clinically significant event logs. </w:t>
      </w:r>
      <w:r>
        <w:rPr>
          <w:rFonts w:ascii="Arial" w:cs="Arial" w:eastAsia="Arial" w:hAnsi="Arial"/>
          <w:sz w:val="22"/>
          <w:szCs w:val="22"/>
        </w:rPr>
        <w:t xml:space="preserve">Severe hypoglycaemia, prolonged hyperglycaemia, pump occlusions, sensor failures. Must be available for clinician review until next consultation.</w:t>
      </w:r>
    </w:p>
    <w:p>
      <w:pPr>
        <w:pStyle w:val="Heading2"/>
      </w:pPr>
      <w:r>
        <w:t xml:space="preserve">6.2 Clinically Arguable Persistence</w:t>
      </w:r>
    </w:p>
    <w:p>
      <w:pPr>
        <w:spacing w:after="200" w:line="276"/>
      </w:pPr>
      <w:r>
        <w:rPr>
          <w:rFonts w:ascii="Arial" w:cs="Arial" w:eastAsia="Arial" w:hAnsi="Arial"/>
          <w:b/>
          <w:bCs/>
          <w:sz w:val="22"/>
          <w:szCs w:val="22"/>
        </w:rPr>
        <w:t xml:space="preserve">AGP and summary report data. </w:t>
      </w:r>
      <w:r>
        <w:rPr>
          <w:rFonts w:ascii="Arial" w:cs="Arial" w:eastAsia="Arial" w:hAnsi="Arial"/>
          <w:sz w:val="22"/>
          <w:szCs w:val="22"/>
        </w:rPr>
        <w:t xml:space="preserve">The AGP is the primary clinical tool. It requires 14–90 days of CGM data. The question is whether the manufacturer needs to retain raw data to enable retrospective regeneration of AGPs, or whether generating the report at clinical review and storing the report (not the raw data) in the patient’s record is sufficient. We suggest the latter serves clinical need; the former serves manufacturer convenience and analytical capability.</w:t>
      </w:r>
    </w:p>
    <w:p>
      <w:pPr>
        <w:spacing w:after="200" w:line="276"/>
      </w:pPr>
      <w:r>
        <w:rPr>
          <w:rFonts w:ascii="Arial" w:cs="Arial" w:eastAsia="Arial" w:hAnsi="Arial"/>
          <w:b/>
          <w:bCs/>
          <w:sz w:val="22"/>
          <w:szCs w:val="22"/>
        </w:rPr>
        <w:t xml:space="preserve">Insulin delivery history. </w:t>
      </w:r>
      <w:r>
        <w:rPr>
          <w:rFonts w:ascii="Arial" w:cs="Arial" w:eastAsia="Arial" w:hAnsi="Arial"/>
          <w:sz w:val="22"/>
          <w:szCs w:val="22"/>
        </w:rPr>
        <w:t xml:space="preserve">Clinically useful over a 30–90 day window. The burden of justification asks: what specific clinical decision requires the manufacturer to hold a patient’s bolus history from eight months ago? If the answer is “none in routine care, but useful for research,” then the data belongs in the Research channel, not the operational cloud.</w:t>
      </w:r>
    </w:p>
    <w:p>
      <w:pPr>
        <w:spacing w:after="200" w:line="276"/>
      </w:pPr>
      <w:r>
        <w:rPr>
          <w:rFonts w:ascii="Arial" w:cs="Arial" w:eastAsia="Arial" w:hAnsi="Arial"/>
          <w:b/>
          <w:bCs/>
          <w:sz w:val="22"/>
          <w:szCs w:val="22"/>
        </w:rPr>
        <w:t xml:space="preserve">AID algorithm performance data. </w:t>
      </w:r>
      <w:r>
        <w:rPr>
          <w:rFonts w:ascii="Arial" w:cs="Arial" w:eastAsia="Arial" w:hAnsi="Arial"/>
          <w:sz w:val="22"/>
          <w:szCs w:val="22"/>
        </w:rPr>
        <w:t xml:space="preserve">This is the classification’s hardest case. The first draft noted “dual utility” and moved on. Applying the burden more rigorously: what specific clinical use requires the manufacturer to retain raw algorithm decision logs (predicted glucose values, adjustment magnitudes, automated mode exits) versus summary metrics (percentage time in closed loop, frequency of manual overrides, average algorithm-driven adjustment)? The summary metrics serve the clinician’s review needs. The raw decision logs serve the manufacturer’s algorithm training needs. We tentatively classify summary metrics as clinically justified and raw decision logs as commercially beneficial, while acknowledging that algorithm engineers might argue the distinction is artificial.</w:t>
      </w:r>
    </w:p>
    <w:p>
      <w:pPr>
        <w:pStyle w:val="Heading2"/>
      </w:pPr>
      <w:r>
        <w:t xml:space="preserve">6.3 Plausibly Commercially Beneficial Beyond Demonstrated Safety Necessity</w:t>
      </w:r>
    </w:p>
    <w:p>
      <w:pPr>
        <w:spacing w:after="200" w:line="276"/>
      </w:pPr>
      <w:r>
        <w:rPr>
          <w:rFonts w:ascii="Arial" w:cs="Arial" w:eastAsia="Arial" w:hAnsi="Arial"/>
          <w:b/>
          <w:bCs/>
          <w:sz w:val="22"/>
          <w:szCs w:val="22"/>
        </w:rPr>
        <w:t xml:space="preserve">Indefinite raw glucose data retention. </w:t>
      </w:r>
      <w:r>
        <w:rPr>
          <w:rFonts w:ascii="Arial" w:cs="Arial" w:eastAsia="Arial" w:hAnsi="Arial"/>
          <w:sz w:val="22"/>
          <w:szCs w:val="22"/>
        </w:rPr>
        <w:t xml:space="preserve">Dexcom’s published FAQ confirms indefinite retention. We found no published clinical guideline recommending this. We engage with the counterarguments in Section 5 and conclude that the legitimate interests (safety signals, outcomes research, algorithm training) can be served through governed channels that do not require indefinite identified retention in an operational cloud.</w:t>
      </w:r>
    </w:p>
    <w:p>
      <w:pPr>
        <w:spacing w:after="200" w:line="276"/>
      </w:pPr>
      <w:r>
        <w:rPr>
          <w:rFonts w:ascii="Arial" w:cs="Arial" w:eastAsia="Arial" w:hAnsi="Arial"/>
          <w:b/>
          <w:bCs/>
          <w:sz w:val="22"/>
          <w:szCs w:val="22"/>
        </w:rPr>
        <w:t xml:space="preserve">Third-party app data distribution. </w:t>
      </w:r>
      <w:r>
        <w:rPr>
          <w:rFonts w:ascii="Arial" w:cs="Arial" w:eastAsia="Arial" w:hAnsi="Arial"/>
          <w:sz w:val="22"/>
          <w:szCs w:val="22"/>
        </w:rPr>
        <w:t xml:space="preserve">Once glucose data leaves the manufacturer via API, it enters a secondary persistence domain with no standardised burn semantics, limited practical revocability, and commercially diverse downstream uses. See Section 7.2.</w:t>
      </w:r>
    </w:p>
    <w:p>
      <w:pPr>
        <w:spacing w:after="200" w:line="276"/>
      </w:pPr>
      <w:r>
        <w:rPr>
          <w:rFonts w:ascii="Arial" w:cs="Arial" w:eastAsia="Arial" w:hAnsi="Arial"/>
          <w:b/>
          <w:bCs/>
          <w:sz w:val="22"/>
          <w:szCs w:val="22"/>
        </w:rPr>
        <w:t xml:space="preserve">Meal, activity, and lifestyle logging. </w:t>
      </w:r>
      <w:r>
        <w:rPr>
          <w:rFonts w:ascii="Arial" w:cs="Arial" w:eastAsia="Arial" w:hAnsi="Arial"/>
          <w:sz w:val="22"/>
          <w:szCs w:val="22"/>
        </w:rPr>
        <w:t xml:space="preserve">Behavioural data that extends far beyond glucose monitoring. Valuable for population health analytics, pharmaceutical partnerships, insurance risk modelling. Limited value for the individual patient’s immediate clinical care beyond short-term pattern recognition.</w:t>
      </w:r>
    </w:p>
    <w:p>
      <w:pPr>
        <w:pStyle w:val="Heading1"/>
      </w:pPr>
      <w:r>
        <w:t xml:space="preserve">7. Proposed Architecture: Adaptations for Insulin Pumps/CGMs</w:t>
      </w:r>
    </w:p>
    <w:p>
      <w:pPr>
        <w:pStyle w:val="Heading2"/>
      </w:pPr>
      <w:r>
        <w:t xml:space="preserve">7.1 Typed Worlds (Adapted)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World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Scope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Burn Schedule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Real-Time Therapeutic</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Current glucose, trend, IOB, active basal/bolus, AID algorithm state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Device, app, patient, AID algorithm</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Operational state only; never subject to burn; never persists in mfr cloud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Review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AGP reports, glucose patterns, insulin summaries, event logs (14–90 day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Treating clinician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Burns from relay after confirmed delivery to patient’s portable record</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Device Maintenance</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Sensor serial numbers, pump firmware, calibration data, hardware performance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Manufacturer (warranty, recall)</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Rolling retention; minimal identifiers; burns on device replacement cycle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Consent-gated; aggregable vs. non-aggregable distinguished per primary paper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Manufacturer R&amp;D, academic researchers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Burns on consent withdrawal or programme completion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Patient</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All data in portable, interoperable format</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Patient, delegates, any authorised clinician</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Patient-controlled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Distribution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shared via API to authorised apps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 authorised by patient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Burn-propagation requirement: consent revocation must cascade downstream</w:t>
            </w:r>
          </w:p>
        </w:tc>
      </w:tr>
    </w:tbl>
    <w:p>
      <w:pPr>
        <w:spacing w:after="200"/>
      </w:pPr>
    </w:p>
    <w:p>
      <w:pPr>
        <w:pStyle w:val="Heading2"/>
      </w:pPr>
      <w:r>
        <w:t xml:space="preserve">7.2 The Third-Party Burn-Propagation Problem</w:t>
      </w:r>
    </w:p>
    <w:p>
      <w:pPr>
        <w:spacing w:after="200" w:line="276"/>
      </w:pPr>
      <w:r>
        <w:rPr>
          <w:rFonts w:ascii="Arial" w:cs="Arial" w:eastAsia="Arial" w:hAnsi="Arial"/>
          <w:sz w:val="22"/>
          <w:szCs w:val="22"/>
        </w:rPr>
        <w:t xml:space="preserve">Under current practice, once a patient authorises a third-party app to receive their glucose data via API, the manufacturer disclaims further control. Dexcom’s terms state explicitly that once data is provided to a third party, Dexcom has “no further control or responsibility regarding that information.”</w:t>
      </w:r>
    </w:p>
    <w:p>
      <w:pPr>
        <w:spacing w:after="200" w:line="276"/>
      </w:pPr>
      <w:r>
        <w:rPr>
          <w:rFonts w:ascii="Arial" w:cs="Arial" w:eastAsia="Arial" w:hAnsi="Arial"/>
          <w:sz w:val="22"/>
          <w:szCs w:val="22"/>
        </w:rPr>
        <w:t xml:space="preserve">A Chambers architecture requires consent revocation to propagate through the distribution chain. If a patient revokes authorisation, data should burn not only from the manufacturer’s sharing queue but from every downstream recipient.</w:t>
      </w:r>
    </w:p>
    <w:p>
      <w:pPr>
        <w:spacing w:after="200" w:line="276"/>
      </w:pPr>
      <w:r>
        <w:rPr>
          <w:rFonts w:ascii="Arial" w:cs="Arial" w:eastAsia="Arial" w:hAnsi="Arial"/>
          <w:sz w:val="22"/>
          <w:szCs w:val="22"/>
        </w:rPr>
        <w:t xml:space="preserve">This is the framework’s most technically and legally challenging element. It may require API-level burn-propagation protocols (technically novel), contractual obligations mandating downstream burn (legally enforceable but practically unverifiable), or both. We do not claim this problem is solved. We identify it as a critical prerequisite for any architecture that treats patient data sovereignty as more than a policy aspiration.</w:t>
      </w:r>
    </w:p>
    <w:p>
      <w:pPr>
        <w:pStyle w:val="Heading2"/>
      </w:pPr>
      <w:r>
        <w:t xml:space="preserve">7.3 The Raw Data vs. Report Distinction</w:t>
      </w:r>
    </w:p>
    <w:p>
      <w:pPr>
        <w:spacing w:after="200" w:line="276"/>
      </w:pPr>
      <w:r>
        <w:rPr>
          <w:rFonts w:ascii="Arial" w:cs="Arial" w:eastAsia="Arial" w:hAnsi="Arial"/>
          <w:sz w:val="22"/>
          <w:szCs w:val="22"/>
        </w:rPr>
        <w:t xml:space="preserve">A 14-day AGP report is a few kilobytes. The underlying raw glucose data is tens of thousands of individual readings. The clinical utility is concentrated in the processed report; the commercial and research value is concentrated in the raw data.</w:t>
      </w:r>
    </w:p>
    <w:p>
      <w:pPr>
        <w:spacing w:after="200" w:line="276"/>
      </w:pPr>
      <w:r>
        <w:rPr>
          <w:rFonts w:ascii="Arial" w:cs="Arial" w:eastAsia="Arial" w:hAnsi="Arial"/>
          <w:sz w:val="22"/>
          <w:szCs w:val="22"/>
        </w:rPr>
        <w:t xml:space="preserve">This suggests a natural burn boundary: the manufacturer relay generates the processed report, delivers it to the clinician and patient’s portable record, and burns the underlying raw data. The patient’s portable record retains the raw data if the patient chooses; the manufacturer does not.</w:t>
      </w:r>
    </w:p>
    <w:p>
      <w:pPr>
        <w:spacing w:after="200" w:line="276"/>
      </w:pPr>
      <w:r>
        <w:rPr>
          <w:rFonts w:ascii="Arial" w:cs="Arial" w:eastAsia="Arial" w:hAnsi="Arial"/>
          <w:b/>
          <w:bCs/>
          <w:sz w:val="22"/>
          <w:szCs w:val="22"/>
        </w:rPr>
        <w:t xml:space="preserve">Honest acknowledgment of what is lost: </w:t>
      </w:r>
      <w:r>
        <w:rPr>
          <w:rFonts w:ascii="Arial" w:cs="Arial" w:eastAsia="Arial" w:hAnsi="Arial"/>
          <w:sz w:val="22"/>
          <w:szCs w:val="22"/>
        </w:rPr>
        <w:t xml:space="preserve">if the manufacturer burns raw data and the patient did not save it locally, the manufacturer cannot generate new analyses from that period if the patient later requests them, and cannot contribute that data to research even if the patient later consents. The processed report cannot be “unprocessed” back into raw data. This is a real limitation. The portable record is the mechanism for preserving optionality; patients who want that optionality must engage with the portable record. Patients who do not will lose access to their raw historical data. We believe this trade-off is acceptable if patients are clearly informed, but acknowledge it imposes a decision burden.</w:t>
      </w:r>
    </w:p>
    <w:p>
      <w:pPr>
        <w:pStyle w:val="Heading2"/>
      </w:pPr>
      <w:r>
        <w:t xml:space="preserve">7.4 The Consumer Wellness Problem</w:t>
      </w:r>
    </w:p>
    <w:p>
      <w:pPr>
        <w:spacing w:after="200" w:line="276"/>
      </w:pPr>
      <w:r>
        <w:rPr>
          <w:rFonts w:ascii="Arial" w:cs="Arial" w:eastAsia="Arial" w:hAnsi="Arial"/>
          <w:sz w:val="22"/>
          <w:szCs w:val="22"/>
        </w:rPr>
        <w:t xml:space="preserve">The first draft noted the consumer wellness crossover without fully analysing it. Peer review correctly observed that the framework’s entire justification rests on clinical safety necessity, and asked: for a non-diabetic consumer using CGM as a wellness tool, what is the safety justification for any manufacturer retention?</w:t>
      </w:r>
    </w:p>
    <w:p>
      <w:pPr>
        <w:spacing w:after="200" w:line="276"/>
      </w:pPr>
      <w:r>
        <w:rPr>
          <w:rFonts w:ascii="Arial" w:cs="Arial" w:eastAsia="Arial" w:hAnsi="Arial"/>
          <w:b/>
          <w:bCs/>
          <w:sz w:val="22"/>
          <w:szCs w:val="22"/>
        </w:rPr>
        <w:t xml:space="preserve">The answer is: there is none. </w:t>
      </w:r>
      <w:r>
        <w:rPr>
          <w:rFonts w:ascii="Arial" w:cs="Arial" w:eastAsia="Arial" w:hAnsi="Arial"/>
          <w:sz w:val="22"/>
          <w:szCs w:val="22"/>
        </w:rPr>
        <w:t xml:space="preserve">For a consumer wellness user, there is no clinical safety necessity for any data persistence beyond the real-time display. The burden-of-justification framework, applied consistently, implies that the manufacturer should retain nothing for consumer wellness users unless the user affirmatively elects persistence.</w:t>
      </w:r>
    </w:p>
    <w:p>
      <w:pPr>
        <w:spacing w:after="200" w:line="276"/>
      </w:pPr>
      <w:r>
        <w:rPr>
          <w:rFonts w:ascii="Arial" w:cs="Arial" w:eastAsia="Arial" w:hAnsi="Arial"/>
          <w:sz w:val="22"/>
          <w:szCs w:val="22"/>
        </w:rPr>
        <w:t xml:space="preserve">This is a radical conclusion that we state clearly rather than hedging. If a manufacturer sells a glucose sensor as a wellness product to people without diabetes, and the data does not serve a clinical safety function, the framework says all data should burn by default. Any retention is commercially motivated and should require explicit, informed, granular opt-in.</w:t>
      </w:r>
    </w:p>
    <w:p>
      <w:pPr>
        <w:spacing w:after="200" w:line="276"/>
      </w:pPr>
      <w:r>
        <w:rPr>
          <w:rFonts w:ascii="Arial" w:cs="Arial" w:eastAsia="Arial" w:hAnsi="Arial"/>
          <w:sz w:val="22"/>
          <w:szCs w:val="22"/>
        </w:rPr>
        <w:t xml:space="preserve">Whether this conclusion is workable depends on whether the manufacturer can sustain the product’s business model without indefinite data retention. If it cannot, that fact is itself informative: it would confirm that the consumer wellness CGM business model depends on data monetisation rather than device sales alone.</w:t>
      </w:r>
    </w:p>
    <w:p>
      <w:pPr>
        <w:pStyle w:val="Heading2"/>
      </w:pPr>
      <w:r>
        <w:t xml:space="preserve">7.5 Patient-Elected Persistence</w:t>
      </w:r>
    </w:p>
    <w:p>
      <w:pPr>
        <w:spacing w:after="200" w:line="276"/>
      </w:pPr>
      <w:r>
        <w:rPr>
          <w:rFonts w:ascii="Arial" w:cs="Arial" w:eastAsia="Arial" w:hAnsi="Arial"/>
          <w:sz w:val="22"/>
          <w:szCs w:val="22"/>
        </w:rPr>
        <w:t xml:space="preserve">As in the primary paper, patients may explicitly elect manufacturer retention for any duration, revocable at any time. The election is granular, the default is burn, and persistence requires affirmative action. This accommodates patients who value manufacturer-held continuity without imposing it as a default.</w:t>
      </w:r>
    </w:p>
    <w:p>
      <w:pPr>
        <w:pStyle w:val="Heading1"/>
      </w:pPr>
      <w:r>
        <w:t xml:space="preserve">8. Paediatric and Adolescent Custodial Transitions</w:t>
      </w:r>
    </w:p>
    <w:p>
      <w:pPr>
        <w:spacing w:after="200" w:line="276"/>
      </w:pPr>
      <w:r>
        <w:rPr>
          <w:rFonts w:ascii="Arial" w:cs="Arial" w:eastAsia="Arial" w:hAnsi="Arial"/>
          <w:sz w:val="22"/>
          <w:szCs w:val="22"/>
        </w:rPr>
        <w:t xml:space="preserve">Many insulin pump/CGM users are children with Type 1 diabetes whose data is managed by parents or guardians. The framework’s “patient-as-vault-owner” principle assumes a single, stable autonomous agent. This assumption fails for paediatric users and requires explicit treatment.</w:t>
      </w:r>
    </w:p>
    <w:p>
      <w:pPr>
        <w:pStyle w:val="Heading2"/>
      </w:pPr>
      <w:r>
        <w:t xml:space="preserve">8.1 The Problem</w:t>
      </w:r>
    </w:p>
    <w:p>
      <w:pPr>
        <w:spacing w:after="200" w:line="276"/>
      </w:pPr>
      <w:r>
        <w:rPr>
          <w:rFonts w:ascii="Arial" w:cs="Arial" w:eastAsia="Arial" w:hAnsi="Arial"/>
          <w:sz w:val="22"/>
          <w:szCs w:val="22"/>
        </w:rPr>
        <w:t xml:space="preserve">A parent who sets up a CGM for their 8-year-old child typically manages the manufacturer account, the portable record, and all data sharing authorisations. Over the next decade, the child matures into an autonomous adolescent who may have very different preferences about data persistence, sharing, and parental access. The transition from parental management to patient autonomy is gradual, not binary, and the appropriate moment for custodial transfer is not standardised.</w:t>
      </w:r>
    </w:p>
    <w:p>
      <w:pPr>
        <w:pStyle w:val="Heading2"/>
      </w:pPr>
      <w:r>
        <w:t xml:space="preserve">8.2 Proposed Approach</w:t>
      </w:r>
    </w:p>
    <w:p>
      <w:pPr>
        <w:spacing w:after="200" w:line="276"/>
      </w:pPr>
      <w:r>
        <w:rPr>
          <w:rFonts w:ascii="Arial" w:cs="Arial" w:eastAsia="Arial" w:hAnsi="Arial"/>
          <w:b/>
          <w:bCs/>
          <w:sz w:val="22"/>
          <w:szCs w:val="22"/>
        </w:rPr>
        <w:t xml:space="preserve">Graduated delegation authority. </w:t>
      </w:r>
      <w:r>
        <w:rPr>
          <w:rFonts w:ascii="Arial" w:cs="Arial" w:eastAsia="Arial" w:hAnsi="Arial"/>
          <w:sz w:val="22"/>
          <w:szCs w:val="22"/>
        </w:rPr>
        <w:t xml:space="preserve">The architecture should support a transition model in which the parent begins with full custodial authority, the adolescent gains shared authority at a specified age or developmental milestone (we suggest 13–16 as a range, noting jurisdictional variation), and the young adult gains exclusive authority at the age of majority. During the shared-authority period, the adolescent can restrict parental access to historical data while the parent retains access to real-time safety alerts.</w:t>
      </w:r>
    </w:p>
    <w:p>
      <w:pPr>
        <w:spacing w:after="200" w:line="276"/>
      </w:pPr>
      <w:r>
        <w:rPr>
          <w:rFonts w:ascii="Arial" w:cs="Arial" w:eastAsia="Arial" w:hAnsi="Arial"/>
          <w:b/>
          <w:bCs/>
          <w:sz w:val="22"/>
          <w:szCs w:val="22"/>
        </w:rPr>
        <w:t xml:space="preserve">Right to historical data restriction. </w:t>
      </w:r>
      <w:r>
        <w:rPr>
          <w:rFonts w:ascii="Arial" w:cs="Arial" w:eastAsia="Arial" w:hAnsi="Arial"/>
          <w:sz w:val="22"/>
          <w:szCs w:val="22"/>
        </w:rPr>
        <w:t xml:space="preserve">When the young adult assumes exclusive custody, they should have the ability to burn historical data from the parental-management period that they do not wish to retain. A 20-year-old should not be bound by data persistence choices their parents made when they were 8.</w:t>
      </w:r>
    </w:p>
    <w:p>
      <w:pPr>
        <w:spacing w:after="200" w:line="276"/>
      </w:pPr>
      <w:r>
        <w:rPr>
          <w:rFonts w:ascii="Arial" w:cs="Arial" w:eastAsia="Arial" w:hAnsi="Arial"/>
          <w:b/>
          <w:bCs/>
          <w:sz w:val="22"/>
          <w:szCs w:val="22"/>
        </w:rPr>
        <w:t xml:space="preserve">Honest limitation: </w:t>
      </w:r>
      <w:r>
        <w:rPr>
          <w:rFonts w:ascii="Arial" w:cs="Arial" w:eastAsia="Arial" w:hAnsi="Arial"/>
          <w:sz w:val="22"/>
          <w:szCs w:val="22"/>
        </w:rPr>
        <w:t xml:space="preserve">this graduated model adds significant complexity to the portable record architecture. It requires role-based access controls, time-scoped permissions, and custody transfer protocols that do not currently exist in any consumer or medical data system. We identify this as an engineering requirement rather than claiming to have designed it.</w:t>
      </w:r>
    </w:p>
    <w:p>
      <w:pPr>
        <w:pStyle w:val="Heading1"/>
      </w:pPr>
      <w:r>
        <w:t xml:space="preserve">9. Cybersecurity Considerations</w:t>
      </w:r>
    </w:p>
    <w:p>
      <w:pPr>
        <w:spacing w:after="200" w:line="276"/>
      </w:pPr>
      <w:r>
        <w:rPr>
          <w:rFonts w:ascii="Arial" w:cs="Arial" w:eastAsia="Arial" w:hAnsi="Arial"/>
          <w:sz w:val="22"/>
          <w:szCs w:val="22"/>
        </w:rPr>
        <w:t xml:space="preserve">The insulin pump/CGM ecosystem presents a broader attack surface than pacemakers: continuously active Bluetooth, multiple third-party data recipients, the smartphone as a critical therapeutic node, and extremely granular metabolic data.</w:t>
      </w:r>
    </w:p>
    <w:p>
      <w:pPr>
        <w:spacing w:after="200" w:line="276"/>
      </w:pPr>
      <w:r>
        <w:rPr>
          <w:rFonts w:ascii="Arial" w:cs="Arial" w:eastAsia="Arial" w:hAnsi="Arial"/>
          <w:sz w:val="22"/>
          <w:szCs w:val="22"/>
        </w:rPr>
        <w:t xml:space="preserve">Published research has demonstrated that insulin pump commands can be intercepted over unencrypted radio frequencies, that Bluetooth pairing announcements can identify users, and that authentication and encryption in pump communication are optional features.</w:t>
      </w:r>
    </w:p>
    <w:p>
      <w:pPr>
        <w:pStyle w:val="Heading2"/>
      </w:pPr>
      <w:r>
        <w:t xml:space="preserve">9.1 The Real-Time Data Stream Problem</w:t>
      </w:r>
    </w:p>
    <w:p>
      <w:pPr>
        <w:spacing w:after="200" w:line="276"/>
      </w:pPr>
      <w:r>
        <w:rPr>
          <w:rFonts w:ascii="Arial" w:cs="Arial" w:eastAsia="Arial" w:hAnsi="Arial"/>
          <w:sz w:val="22"/>
          <w:szCs w:val="22"/>
        </w:rPr>
        <w:t xml:space="preserve">The first draft’s cybersecurity section was correctly criticised as thin on the hardest problem: the real-time therapeutic data stream, which cannot be burned, is the most operationally critical and potentially most valuable attack target. An attacker who can intercept or corrupt real-time CGM readings does not need historical archives to cause patient harm.</w:t>
      </w:r>
    </w:p>
    <w:p>
      <w:pPr>
        <w:spacing w:after="200" w:line="276"/>
      </w:pPr>
      <w:r>
        <w:rPr>
          <w:rFonts w:ascii="Arial" w:cs="Arial" w:eastAsia="Arial" w:hAnsi="Arial"/>
          <w:sz w:val="22"/>
          <w:szCs w:val="22"/>
        </w:rPr>
        <w:t xml:space="preserve">The Chambers framework’s burn semantics address the historical archive attack surface but not the real-time stream. This is an honest limitation. The framework reduces the total attack surface (historical data is eliminated as a target) but does not address the most safety-critical attack vector (real-time data integrity). Real-time stream protection requires orthogonal security measures: authenticated encryption of the BLE channel, mutual device authentication, integrity verification of glucose readings at the AID algorithm, and anomaly detection for implausible glucose values. These are complementary to burn semantics, not replaceable by them.</w:t>
      </w:r>
    </w:p>
    <w:p>
      <w:pPr>
        <w:pStyle w:val="Heading1"/>
      </w:pPr>
      <w:r>
        <w:t xml:space="preserve">10. Comparative Analysis</w:t>
      </w:r>
    </w:p>
    <w:p>
      <w:pPr>
        <w:pStyle w:val="Heading2"/>
      </w:pPr>
      <w:r>
        <w:t xml:space="preserve">10.1 Recurring Patterns</w:t>
      </w:r>
    </w:p>
    <w:p>
      <w:pPr>
        <w:spacing w:after="200" w:line="276"/>
      </w:pPr>
      <w:r>
        <w:rPr>
          <w:rFonts w:ascii="Arial" w:cs="Arial" w:eastAsia="Arial" w:hAnsi="Arial"/>
          <w:sz w:val="22"/>
          <w:szCs w:val="22"/>
        </w:rPr>
        <w:t xml:space="preserve">The same three structural patterns identified in the pacemaker analysis recur:</w:t>
      </w:r>
    </w:p>
    <w:p>
      <w:pPr>
        <w:spacing w:after="200" w:line="276"/>
      </w:pPr>
      <w:r>
        <w:rPr>
          <w:rFonts w:ascii="Arial" w:cs="Arial" w:eastAsia="Arial" w:hAnsi="Arial"/>
          <w:b/>
          <w:bCs/>
          <w:sz w:val="22"/>
          <w:szCs w:val="22"/>
        </w:rPr>
        <w:t xml:space="preserve">Manufacturer as mandatory intermediary. </w:t>
      </w:r>
      <w:r>
        <w:rPr>
          <w:rFonts w:ascii="Arial" w:cs="Arial" w:eastAsia="Arial" w:hAnsi="Arial"/>
          <w:sz w:val="22"/>
          <w:szCs w:val="22"/>
        </w:rPr>
        <w:t xml:space="preserve">In all major systems, CGM data flows through manufacturer cloud before reaching clinician. No standard direct sensor-to-clinician path exists.</w:t>
      </w:r>
    </w:p>
    <w:p>
      <w:pPr>
        <w:spacing w:after="200" w:line="276"/>
      </w:pPr>
      <w:r>
        <w:rPr>
          <w:rFonts w:ascii="Arial" w:cs="Arial" w:eastAsia="Arial" w:hAnsi="Arial"/>
          <w:b/>
          <w:bCs/>
          <w:sz w:val="22"/>
          <w:szCs w:val="22"/>
        </w:rPr>
        <w:t xml:space="preserve">Persistence defaults exceeding apparent safety necessity. </w:t>
      </w:r>
      <w:r>
        <w:rPr>
          <w:rFonts w:ascii="Arial" w:cs="Arial" w:eastAsia="Arial" w:hAnsi="Arial"/>
          <w:sz w:val="22"/>
          <w:szCs w:val="22"/>
        </w:rPr>
        <w:t xml:space="preserve">Indefinite raw data retention with no published clinical guideline requiring it. The safety and clinical utility is concentrated in recent data (14–90 days); the indefinite archive serves other interests.</w:t>
      </w:r>
    </w:p>
    <w:p>
      <w:pPr>
        <w:spacing w:after="200" w:line="276"/>
      </w:pPr>
      <w:r>
        <w:rPr>
          <w:rFonts w:ascii="Arial" w:cs="Arial" w:eastAsia="Arial" w:hAnsi="Arial"/>
          <w:b/>
          <w:bCs/>
          <w:sz w:val="22"/>
          <w:szCs w:val="22"/>
        </w:rPr>
        <w:t xml:space="preserve">Patient in weakest custodial position. </w:t>
      </w:r>
      <w:r>
        <w:rPr>
          <w:rFonts w:ascii="Arial" w:cs="Arial" w:eastAsia="Arial" w:hAnsi="Arial"/>
          <w:sz w:val="22"/>
          <w:szCs w:val="22"/>
        </w:rPr>
        <w:t xml:space="preserve">Generates all data, bears all consequences, has least control over downstream distribution.</w:t>
      </w:r>
    </w:p>
    <w:p>
      <w:pPr>
        <w:pStyle w:val="Heading2"/>
      </w:pPr>
      <w:r>
        <w:t xml:space="preserve">10.2 Framework Adaptations Required</w:t>
      </w:r>
    </w:p>
    <w:p>
      <w:pPr>
        <w:spacing w:after="200" w:line="276"/>
      </w:pPr>
      <w:r>
        <w:rPr>
          <w:rFonts w:ascii="Arial" w:cs="Arial" w:eastAsia="Arial" w:hAnsi="Arial"/>
          <w:sz w:val="22"/>
          <w:szCs w:val="22"/>
        </w:rPr>
        <w:t xml:space="preserve">The adaptations required for the insulin pump/CGM ecosystem are substantial enough that a reader could reasonably ask whether the framework remains unified or has become a family of domain-specific proposals sharing a common vocabulary. We think the answer lies in the shared core: the burden-of-justification principle, the typed worlds structure, and the destruction-as-default orientation. The domain-specific elements — third-party burn propagation, real-time therapeutic exclusions, paediatric transitions, consumer wellness collapse — are calibrations of that core, not departures from it.</w:t>
      </w:r>
    </w:p>
    <w:p>
      <w:pPr>
        <w:pStyle w:val="Heading1"/>
      </w:pPr>
      <w:r>
        <w:t xml:space="preserve">11. The Data Ownership Question</w:t>
      </w:r>
    </w:p>
    <w:p>
      <w:pPr>
        <w:spacing w:after="200" w:line="276"/>
      </w:pPr>
      <w:r>
        <w:rPr>
          <w:rFonts w:ascii="Arial" w:cs="Arial" w:eastAsia="Arial" w:hAnsi="Arial"/>
          <w:sz w:val="22"/>
          <w:szCs w:val="22"/>
        </w:rPr>
        <w:t xml:space="preserve">The insulin pump/CGM ecosystem exposes the ownership question more sharply than pacemakers. No legislation in the US or EU explicitly recognises ownership rights over medical device data. Published legal scholarship confirms this gap.</w:t>
      </w:r>
    </w:p>
    <w:p>
      <w:pPr>
        <w:spacing w:after="200" w:line="276"/>
      </w:pPr>
      <w:r>
        <w:rPr>
          <w:rFonts w:ascii="Arial" w:cs="Arial" w:eastAsia="Arial" w:hAnsi="Arial"/>
          <w:sz w:val="22"/>
          <w:szCs w:val="22"/>
        </w:rPr>
        <w:t xml:space="preserve">The framework sidesteps ownership by focusing on custodial defaults and burden of proof. But peer review correctly noted that ownership and custodial obligations may be legally entangled: if a patient has no property interest in their glucose data, what is the legal mechanism for enforcing burn semantics?</w:t>
      </w:r>
    </w:p>
    <w:p>
      <w:pPr>
        <w:spacing w:after="200" w:line="276"/>
      </w:pPr>
      <w:r>
        <w:rPr>
          <w:rFonts w:ascii="Arial" w:cs="Arial" w:eastAsia="Arial" w:hAnsi="Arial"/>
          <w:sz w:val="22"/>
          <w:szCs w:val="22"/>
        </w:rPr>
        <w:t xml:space="preserve">We acknowledge this entanglement without resolving it. The framework’s governance claim (whoever holds data must justify retention) is weaker without a property baseline. Enforcement may require either legislative recognition of patient data property rights, contractual obligations embedded in device purchase/subscription terms, or regulatory mandates for data minimisation that do not depend on ownership. All three are plausible mechanisms; none currently exist in sufficient form. The framework identifies the need but does not supply the legal infrastructure.</w:t>
      </w:r>
    </w:p>
    <w:p>
      <w:pPr>
        <w:pStyle w:val="Heading1"/>
      </w:pPr>
      <w:r>
        <w:t xml:space="preserve">12. Operational Preconditions and Failure Modes</w:t>
      </w:r>
    </w:p>
    <w:p>
      <w:pPr>
        <w:spacing w:after="200" w:line="276"/>
      </w:pPr>
      <w:r>
        <w:rPr>
          <w:rFonts w:ascii="Arial" w:cs="Arial" w:eastAsia="Arial" w:hAnsi="Arial"/>
          <w:sz w:val="22"/>
          <w:szCs w:val="22"/>
        </w:rPr>
        <w:t xml:space="preserve">In addition to the challenges identified in the primary paper, the insulin pump/CGM ecosystem introduces:</w:t>
      </w:r>
    </w:p>
    <w:p>
      <w:pPr>
        <w:spacing w:after="200" w:line="276"/>
      </w:pPr>
      <w:r>
        <w:rPr>
          <w:rFonts w:ascii="Arial" w:cs="Arial" w:eastAsia="Arial" w:hAnsi="Arial"/>
          <w:b/>
          <w:bCs/>
          <w:sz w:val="22"/>
          <w:szCs w:val="22"/>
        </w:rPr>
        <w:t xml:space="preserve">Real-time data continuity. </w:t>
      </w:r>
      <w:r>
        <w:rPr>
          <w:rFonts w:ascii="Arial" w:cs="Arial" w:eastAsia="Arial" w:hAnsi="Arial"/>
          <w:sz w:val="22"/>
          <w:szCs w:val="22"/>
        </w:rPr>
        <w:t xml:space="preserve">Any architecture change must guarantee zero interference with real-time CGM-to-pump data flow. Burn semantics must be architecturally firewalled from the therapeutic stream, not merely specified that way.</w:t>
      </w:r>
    </w:p>
    <w:p>
      <w:pPr>
        <w:spacing w:after="200" w:line="276"/>
      </w:pPr>
      <w:r>
        <w:rPr>
          <w:rFonts w:ascii="Arial" w:cs="Arial" w:eastAsia="Arial" w:hAnsi="Arial"/>
          <w:b/>
          <w:bCs/>
          <w:sz w:val="22"/>
          <w:szCs w:val="22"/>
        </w:rPr>
        <w:t xml:space="preserve">Sensor replacement transitions. </w:t>
      </w:r>
      <w:r>
        <w:rPr>
          <w:rFonts w:ascii="Arial" w:cs="Arial" w:eastAsia="Arial" w:hAnsi="Arial"/>
          <w:sz w:val="22"/>
          <w:szCs w:val="22"/>
        </w:rPr>
        <w:t xml:space="preserve">CGM sensors are replaced frequently. The portable record must handle warmup periods, calibration events, and sensor accuracy metadata seamlessly.</w:t>
      </w:r>
    </w:p>
    <w:p>
      <w:pPr>
        <w:spacing w:after="200" w:line="276"/>
      </w:pPr>
      <w:r>
        <w:rPr>
          <w:rFonts w:ascii="Arial" w:cs="Arial" w:eastAsia="Arial" w:hAnsi="Arial"/>
          <w:b/>
          <w:bCs/>
          <w:sz w:val="22"/>
          <w:szCs w:val="22"/>
        </w:rPr>
        <w:t xml:space="preserve">Third-party API revocation enforcement. </w:t>
      </w:r>
      <w:r>
        <w:rPr>
          <w:rFonts w:ascii="Arial" w:cs="Arial" w:eastAsia="Arial" w:hAnsi="Arial"/>
          <w:sz w:val="22"/>
          <w:szCs w:val="22"/>
        </w:rPr>
        <w:t xml:space="preserve">Verifying that apps actually burn data upon consent revocation is practically difficult. Without a technical enforcement mechanism, burn guarantees are contractual and imperfect.</w:t>
      </w:r>
    </w:p>
    <w:p>
      <w:pPr>
        <w:spacing w:after="200" w:line="276"/>
      </w:pPr>
      <w:r>
        <w:rPr>
          <w:rFonts w:ascii="Arial" w:cs="Arial" w:eastAsia="Arial" w:hAnsi="Arial"/>
          <w:b/>
          <w:bCs/>
          <w:sz w:val="22"/>
          <w:szCs w:val="22"/>
        </w:rPr>
        <w:t xml:space="preserve">Paediatric custody transitions. </w:t>
      </w:r>
      <w:r>
        <w:rPr>
          <w:rFonts w:ascii="Arial" w:cs="Arial" w:eastAsia="Arial" w:hAnsi="Arial"/>
          <w:sz w:val="22"/>
          <w:szCs w:val="22"/>
        </w:rPr>
        <w:t xml:space="preserve">Role-based access controls with time-scoped permissions and custody transfer protocols are required but do not exist in current systems.</w:t>
      </w:r>
    </w:p>
    <w:p>
      <w:pPr>
        <w:spacing w:after="200" w:line="276"/>
      </w:pPr>
      <w:r>
        <w:rPr>
          <w:rFonts w:ascii="Arial" w:cs="Arial" w:eastAsia="Arial" w:hAnsi="Arial"/>
          <w:b/>
          <w:bCs/>
          <w:sz w:val="22"/>
          <w:szCs w:val="22"/>
        </w:rPr>
        <w:t xml:space="preserve">Report sufficiency validation. </w:t>
      </w:r>
      <w:r>
        <w:rPr>
          <w:rFonts w:ascii="Arial" w:cs="Arial" w:eastAsia="Arial" w:hAnsi="Arial"/>
          <w:sz w:val="22"/>
          <w:szCs w:val="22"/>
        </w:rPr>
        <w:t xml:space="preserve">The raw-data-vs-report distinction (Section 7.3) assumes that processed reports serve clinical needs. This assumption should be validated with endocrinologists across different clinical contexts before being treated as settled.</w:t>
      </w:r>
    </w:p>
    <w:p>
      <w:pPr>
        <w:pStyle w:val="Heading1"/>
      </w:pPr>
      <w:r>
        <w:t xml:space="preserve">13. Conclusions</w:t>
      </w:r>
    </w:p>
    <w:p>
      <w:pPr>
        <w:spacing w:after="200" w:line="276"/>
      </w:pPr>
      <w:r>
        <w:rPr>
          <w:rFonts w:ascii="Arial" w:cs="Arial" w:eastAsia="Arial" w:hAnsi="Arial"/>
          <w:sz w:val="22"/>
          <w:szCs w:val="22"/>
        </w:rPr>
        <w:t xml:space="preserve">The insulin pump/CGM ecosystem confirms the Chamber Sentinel framework’s core insight: in connected medical device ecosystems, persistence defaults tend to exceed safety necessity, manufacturers architect themselves as intermediaries, and data subjects occupy the weakest custodial position.</w:t>
      </w:r>
    </w:p>
    <w:p>
      <w:pPr>
        <w:spacing w:after="200" w:line="276"/>
      </w:pPr>
      <w:r>
        <w:rPr>
          <w:rFonts w:ascii="Arial" w:cs="Arial" w:eastAsia="Arial" w:hAnsi="Arial"/>
          <w:sz w:val="22"/>
          <w:szCs w:val="22"/>
        </w:rPr>
        <w:t xml:space="preserve">This revised analysis also demonstrates that the framework, applied honestly, produces uncomfortable conclusions. It implies that consumer wellness CGM products have no safety justification for any manufacturer data retention. It acknowledges that third-party burn propagation may exceed current engineering capabilities. It concedes that the strongest counterargument for manufacturer retention — algorithm training that directly benefits patients — represents a genuine trade-off rather than a clear-cut case. And it recognises that without legislative or regulatory backing, the framework’s enforcement mechanisms remain aspirational.</w:t>
      </w:r>
    </w:p>
    <w:p>
      <w:pPr>
        <w:spacing w:after="200" w:line="276"/>
      </w:pPr>
      <w:r>
        <w:rPr>
          <w:rFonts w:ascii="Arial" w:cs="Arial" w:eastAsia="Arial" w:hAnsi="Arial"/>
          <w:sz w:val="22"/>
          <w:szCs w:val="22"/>
        </w:rPr>
        <w:t xml:space="preserve">The framework’s central proposition nevertheless survives the second device class test: data persistence in connected medical device ecosystems should face a burden-of-justification standard. But this paper makes clear that justification is not always easy to deny, that some of the framework’s mechanisms are unsolved engineering problems, and that honest application requires confronting trade-offs rather than pretending they do not exist.</w:t>
      </w:r>
    </w:p>
    <w:p>
      <w:pPr>
        <w:pBdr>
          <w:bottom w:val="single" w:color="2E75B6" w:sz="6" w:space="1"/>
        </w:pBdr>
        <w:spacing w:before="400"/>
      </w:pPr>
    </w:p>
    <w:p>
      <w:pPr>
        <w:spacing w:after="200" w:line="276"/>
      </w:pPr>
      <w:r>
        <w:rPr>
          <w:rFonts w:ascii="Arial" w:cs="Arial" w:eastAsia="Arial" w:hAnsi="Arial"/>
          <w:i/>
          <w:iCs/>
          <w:sz w:val="22"/>
          <w:szCs w:val="22"/>
        </w:rPr>
        <w:t xml:space="preserve">This companion paper should be read alongside the primary Chamber Sentinel medical devices paper. The authors welcome critical engagement from endocrinologists, diabetes technology researchers, device security specialists, patient advocates, regulatory professionals, and medical device manufacturers.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2026-04-08T18:14:02.951Z</dcterms:created>
  <dcterms:modified xsi:type="dcterms:W3CDTF">2026-04-08T18:14:02.952Z</dcterms:modified>
</cp:coreProperties>
</file>

<file path=docProps/custom.xml><?xml version="1.0" encoding="utf-8"?>
<Properties xmlns="http://schemas.openxmlformats.org/officeDocument/2006/custom-properties" xmlns:vt="http://schemas.openxmlformats.org/officeDocument/2006/docPropsVTypes"/>
</file>