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u w:val="single"/>
        </w:rPr>
        <w:t xml:space="preserve">Terms and Conditions Agreement — Rawaes Car Rental Company</w:t>
      </w:r>
    </w:p>
    <w:p>
      <w:pPr>
        <w:spacing w:after="120"/>
      </w:pPr>
      <w:r>
        <w:t xml:space="preserve">Dear visitor, your use of this application or website, or your completion of any booking through it, constitutes your full and unconditional acceptance of all the terms and conditions set out below. Please read them carefully before completing any booking.</w:t>
      </w:r>
    </w:p>
    <w:p>
      <w:pPr>
        <w:spacing w:after="120" w:before="240"/>
      </w:pPr>
      <w:r>
        <w:rPr>
          <w:b/>
          <w:bCs/>
          <w:sz w:val="26"/>
          <w:szCs w:val="26"/>
        </w:rPr>
        <w:t xml:space="preserve">1. Definitions</w:t>
      </w:r>
    </w:p>
    <w:p>
      <w:pPr>
        <w:pStyle w:val="ListParagraph"/>
        <w:numPr>
          <w:ilvl w:val="0"/>
          <w:numId w:val="2"/>
        </w:numPr>
        <w:spacing w:after="100"/>
      </w:pPr>
      <w:r>
        <w:t xml:space="preserve">The Company: Rawaes Car Rental Company.</w:t>
      </w:r>
    </w:p>
    <w:p>
      <w:pPr>
        <w:pStyle w:val="ListParagraph"/>
        <w:numPr>
          <w:ilvl w:val="0"/>
          <w:numId w:val="2"/>
        </w:numPr>
        <w:spacing w:after="100"/>
      </w:pPr>
      <w:r>
        <w:t xml:space="preserve">The Renter / Customer: the natural or legal person who books and rents a vehicle through the application or website.</w:t>
      </w:r>
    </w:p>
    <w:p>
      <w:pPr>
        <w:pStyle w:val="ListParagraph"/>
        <w:numPr>
          <w:ilvl w:val="0"/>
          <w:numId w:val="2"/>
        </w:numPr>
        <w:spacing w:after="100"/>
      </w:pPr>
      <w:r>
        <w:t xml:space="preserve">The Vehicle: the rented car and its contents, including keys, spare tires, documents, and any other accessories.</w:t>
      </w:r>
    </w:p>
    <w:p>
      <w:pPr>
        <w:pStyle w:val="ListParagraph"/>
        <w:numPr>
          <w:ilvl w:val="0"/>
          <w:numId w:val="2"/>
        </w:numPr>
        <w:spacing w:after="100"/>
      </w:pPr>
      <w:r>
        <w:t xml:space="preserve">The Application / Website: the electronic platform belonging to Rawaes Car Rental Company.</w:t>
      </w:r>
    </w:p>
    <w:p>
      <w:pPr>
        <w:pStyle w:val="ListParagraph"/>
        <w:numPr>
          <w:ilvl w:val="0"/>
          <w:numId w:val="2"/>
        </w:numPr>
        <w:spacing w:after="100"/>
      </w:pPr>
      <w:r>
        <w:t xml:space="preserve">"Tamm" System: the accredited electronic traffic system in the Kingdom of Saudi Arabia for managing vehicle fleets and driving authorizations.</w:t>
      </w:r>
    </w:p>
    <w:p>
      <w:pPr>
        <w:spacing w:after="120" w:before="240"/>
      </w:pPr>
      <w:r>
        <w:rPr>
          <w:b/>
          <w:bCs/>
          <w:sz w:val="26"/>
          <w:szCs w:val="26"/>
        </w:rPr>
        <w:t xml:space="preserve">2. Rental Requirements and Required Documents</w:t>
      </w:r>
    </w:p>
    <w:p>
      <w:pPr>
        <w:spacing w:after="120"/>
      </w:pPr>
      <w:r>
        <w:t xml:space="preserve">The Company has the right to refuse to rent any vehicle if the customer does not meet the following conditions:</w:t>
      </w:r>
    </w:p>
    <w:p>
      <w:pPr>
        <w:pStyle w:val="ListParagraph"/>
        <w:numPr>
          <w:ilvl w:val="0"/>
          <w:numId w:val="2"/>
        </w:numPr>
        <w:spacing w:after="100"/>
      </w:pPr>
      <w:r>
        <w:t xml:space="preserve">Age: the renter must be at least 21 years old for small, mid-size, and luxury cars.</w:t>
      </w:r>
    </w:p>
    <w:p>
      <w:pPr>
        <w:pStyle w:val="ListParagraph"/>
        <w:numPr>
          <w:ilvl w:val="0"/>
          <w:numId w:val="2"/>
        </w:numPr>
        <w:spacing w:after="100"/>
      </w:pPr>
      <w:r>
        <w:t xml:space="preserve">Driving License: a valid local driving license, or an international license recognized in the Kingdom.</w:t>
      </w:r>
    </w:p>
    <w:p>
      <w:pPr>
        <w:pStyle w:val="ListParagraph"/>
        <w:numPr>
          <w:ilvl w:val="0"/>
          <w:numId w:val="2"/>
        </w:numPr>
        <w:spacing w:after="100"/>
      </w:pPr>
      <w:r>
        <w:t xml:space="preserve">Identification: a valid national ID or residence permit (Iqama), which must be registered in the "Absher" system.</w:t>
      </w:r>
    </w:p>
    <w:p>
      <w:pPr>
        <w:pStyle w:val="ListParagraph"/>
        <w:numPr>
          <w:ilvl w:val="0"/>
          <w:numId w:val="2"/>
        </w:numPr>
        <w:spacing w:after="100"/>
      </w:pPr>
      <w:r>
        <w:t xml:space="preserve">Security Status: no security or traffic restrictions preventing the issuance of a driving authorization through the "Tamm" system, or the opening of the contract on the "Tajeer" (Naql) platform.</w:t>
      </w:r>
    </w:p>
    <w:p>
      <w:pPr>
        <w:spacing w:after="120" w:before="240"/>
      </w:pPr>
      <w:r>
        <w:rPr>
          <w:b/>
          <w:bCs/>
          <w:sz w:val="26"/>
          <w:szCs w:val="26"/>
        </w:rPr>
        <w:t xml:space="preserve">3. Booking, Modification, and Cancellation</w:t>
      </w:r>
    </w:p>
    <w:p>
      <w:pPr>
        <w:pStyle w:val="ListParagraph"/>
        <w:numPr>
          <w:ilvl w:val="0"/>
          <w:numId w:val="2"/>
        </w:numPr>
        <w:spacing w:after="100"/>
      </w:pPr>
      <w:r>
        <w:t xml:space="preserve">Booking Confirmation: a booking is considered confirmed only after the customer receives the electronic confirmation message and pays the required amount or deposit, in accordance with the booking policy.</w:t>
      </w:r>
    </w:p>
    <w:p>
      <w:pPr>
        <w:pStyle w:val="ListParagraph"/>
        <w:numPr>
          <w:ilvl w:val="0"/>
          <w:numId w:val="2"/>
        </w:numPr>
        <w:spacing w:after="100"/>
      </w:pPr>
      <w:r>
        <w:t xml:space="preserve">Booking Modification: any modification to a booking, such as changing the car type or the rental period, is subject to vehicle availability and may result in a change in price.</w:t>
      </w:r>
    </w:p>
    <w:p>
      <w:pPr>
        <w:spacing w:after="120" w:before="120"/>
      </w:pPr>
      <w:r>
        <w:rPr>
          <w:b/>
          <w:bCs/>
        </w:rPr>
        <w:t xml:space="preserve">Cancellation:</w:t>
      </w:r>
    </w:p>
    <w:p>
      <w:pPr>
        <w:spacing w:after="120"/>
      </w:pPr>
      <w:r>
        <w:rPr>
          <w:b/>
          <w:bCs/>
        </w:rPr>
        <w:t xml:space="preserve">Cancellation Periods and Applicable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D9D9" w:val="clear"/>
            <w:tcMar>
              <w:top w:type="dxa" w:w="100"/>
              <w:left w:type="dxa" w:w="120"/>
              <w:bottom w:type="dxa" w:w="100"/>
              <w:right w:type="dxa" w:w="120"/>
            </w:tcMar>
          </w:tcPr>
          <w:p>
            <w:r>
              <w:rPr>
                <w:b/>
                <w:bCs/>
              </w:rPr>
              <w:t xml:space="preserve">Timing of Cancellation by the Customer</w:t>
            </w:r>
          </w:p>
        </w:tc>
        <w:tc>
          <w:tcPr>
            <w:tcW w:type="dxa" w:w="4680"/>
            <w:shd w:fill="D9D9D9" w:val="clear"/>
            <w:tcMar>
              <w:top w:type="dxa" w:w="100"/>
              <w:left w:type="dxa" w:w="120"/>
              <w:bottom w:type="dxa" w:w="100"/>
              <w:right w:type="dxa" w:w="120"/>
            </w:tcMar>
          </w:tcPr>
          <w:p>
            <w:r>
              <w:rPr>
                <w:b/>
                <w:bCs/>
              </w:rPr>
              <w:t xml:space="preserve">Applicable Fees</w:t>
            </w:r>
          </w:p>
        </w:tc>
      </w:tr>
      <w:tr>
        <w:tc>
          <w:tcPr>
            <w:tcW w:type="dxa" w:w="4680"/>
            <w:tcMar>
              <w:top w:type="dxa" w:w="100"/>
              <w:left w:type="dxa" w:w="120"/>
              <w:bottom w:type="dxa" w:w="100"/>
              <w:right w:type="dxa" w:w="120"/>
            </w:tcMar>
          </w:tcPr>
          <w:p>
            <w:r>
              <w:t xml:space="preserve">More than 48 hours before the scheduled pick-up time</w:t>
            </w:r>
          </w:p>
        </w:tc>
        <w:tc>
          <w:tcPr>
            <w:tcW w:type="dxa" w:w="4680"/>
            <w:tcMar>
              <w:top w:type="dxa" w:w="100"/>
              <w:left w:type="dxa" w:w="120"/>
              <w:bottom w:type="dxa" w:w="100"/>
              <w:right w:type="dxa" w:w="120"/>
            </w:tcMar>
          </w:tcPr>
          <w:p>
            <w:r>
              <w:t xml:space="preserve">Fully free cancellation with no fees or financial deductions of any kind.</w:t>
            </w:r>
          </w:p>
        </w:tc>
      </w:tr>
      <w:tr>
        <w:tc>
          <w:tcPr>
            <w:tcW w:type="dxa" w:w="4680"/>
            <w:tcMar>
              <w:top w:type="dxa" w:w="100"/>
              <w:left w:type="dxa" w:w="120"/>
              <w:bottom w:type="dxa" w:w="100"/>
              <w:right w:type="dxa" w:w="120"/>
            </w:tcMar>
          </w:tcPr>
          <w:p>
            <w:r>
              <w:t xml:space="preserve">Between 24 and 48 hours before the scheduled pick-up time</w:t>
            </w:r>
          </w:p>
        </w:tc>
        <w:tc>
          <w:tcPr>
            <w:tcW w:type="dxa" w:w="4680"/>
            <w:tcMar>
              <w:top w:type="dxa" w:w="100"/>
              <w:left w:type="dxa" w:w="120"/>
              <w:bottom w:type="dxa" w:w="100"/>
              <w:right w:type="dxa" w:w="120"/>
            </w:tcMar>
          </w:tcPr>
          <w:p>
            <w:r>
              <w:t xml:space="preserve">Deduction of an administrative fee equal to 25% of the total booking value, or one day’s rental charge, whichever is lower (as a maximum).</w:t>
            </w:r>
          </w:p>
        </w:tc>
      </w:tr>
      <w:tr>
        <w:tc>
          <w:tcPr>
            <w:tcW w:type="dxa" w:w="4680"/>
            <w:tcMar>
              <w:top w:type="dxa" w:w="100"/>
              <w:left w:type="dxa" w:w="120"/>
              <w:bottom w:type="dxa" w:w="100"/>
              <w:right w:type="dxa" w:w="120"/>
            </w:tcMar>
          </w:tcPr>
          <w:p>
            <w:r>
              <w:t xml:space="preserve">Less than 24 hours before the scheduled pick-up time</w:t>
            </w:r>
          </w:p>
        </w:tc>
        <w:tc>
          <w:tcPr>
            <w:tcW w:type="dxa" w:w="4680"/>
            <w:tcMar>
              <w:top w:type="dxa" w:w="100"/>
              <w:left w:type="dxa" w:w="120"/>
              <w:bottom w:type="dxa" w:w="100"/>
              <w:right w:type="dxa" w:w="120"/>
            </w:tcMar>
          </w:tcPr>
          <w:p>
            <w:r>
              <w:t xml:space="preserve">Deduction of an administrative fee equal to 50% of the total booking value, or one day’s rental charge, whichever is lower (as a maximum).</w:t>
            </w:r>
          </w:p>
        </w:tc>
      </w:tr>
      <w:tr>
        <w:tc>
          <w:tcPr>
            <w:tcW w:type="dxa" w:w="4680"/>
            <w:tcMar>
              <w:top w:type="dxa" w:w="100"/>
              <w:left w:type="dxa" w:w="120"/>
              <w:bottom w:type="dxa" w:w="100"/>
              <w:right w:type="dxa" w:w="120"/>
            </w:tcMar>
          </w:tcPr>
          <w:p>
            <w:r>
              <w:t xml:space="preserve">Less than 6 hours before the scheduled pick-up time</w:t>
            </w:r>
          </w:p>
        </w:tc>
        <w:tc>
          <w:tcPr>
            <w:tcW w:type="dxa" w:w="4680"/>
            <w:tcMar>
              <w:top w:type="dxa" w:w="100"/>
              <w:left w:type="dxa" w:w="120"/>
              <w:bottom w:type="dxa" w:w="100"/>
              <w:right w:type="dxa" w:w="120"/>
            </w:tcMar>
          </w:tcPr>
          <w:p>
            <w:r>
              <w:t xml:space="preserve">Deduction of 100% of the total booking value, or two days’ rental charge as a maximum.</w:t>
            </w:r>
          </w:p>
        </w:tc>
      </w:tr>
      <w:tr>
        <w:tc>
          <w:tcPr>
            <w:tcW w:type="dxa" w:w="4680"/>
            <w:tcMar>
              <w:top w:type="dxa" w:w="100"/>
              <w:left w:type="dxa" w:w="120"/>
              <w:bottom w:type="dxa" w:w="100"/>
              <w:right w:type="dxa" w:w="120"/>
            </w:tcMar>
          </w:tcPr>
          <w:p>
            <w:r>
              <w:t xml:space="preserve">Failure to show up to collect the vehicle at the scheduled time</w:t>
            </w:r>
          </w:p>
        </w:tc>
        <w:tc>
          <w:tcPr>
            <w:tcW w:type="dxa" w:w="4680"/>
            <w:tcMar>
              <w:top w:type="dxa" w:w="100"/>
              <w:left w:type="dxa" w:w="120"/>
              <w:bottom w:type="dxa" w:w="100"/>
              <w:right w:type="dxa" w:w="120"/>
            </w:tcMar>
          </w:tcPr>
          <w:p>
            <w:r>
              <w:t xml:space="preserve">The reserved vehicle is held for two hours past the scheduled time. If the customer does not show up, the booking is cancelled and the full booking value is deducted.</w:t>
            </w:r>
          </w:p>
        </w:tc>
      </w:tr>
    </w:tbl>
    <w:p>
      <w:pPr>
        <w:spacing w:after="120"/>
      </w:pPr>
    </w:p>
    <w:p>
      <w:pPr>
        <w:pStyle w:val="ListParagraph"/>
        <w:numPr>
          <w:ilvl w:val="0"/>
          <w:numId w:val="2"/>
        </w:numPr>
        <w:spacing w:after="100"/>
      </w:pPr>
      <w:r>
        <w:t xml:space="preserve">Vehicle Condition: the vehicle is delivered to the customer in sound technical and mechanical condition and clean. The customer must inspect the vehicle before taking delivery and sign the inspection form.</w:t>
      </w:r>
    </w:p>
    <w:p>
      <w:pPr>
        <w:pStyle w:val="ListParagraph"/>
        <w:numPr>
          <w:ilvl w:val="0"/>
          <w:numId w:val="2"/>
        </w:numPr>
        <w:spacing w:after="100"/>
      </w:pPr>
      <w:r>
        <w:t xml:space="preserve">Vehicle Return: the vehicle must be returned on the specified date and time, and in the same condition in which it was received.</w:t>
      </w:r>
    </w:p>
    <w:p>
      <w:pPr>
        <w:pStyle w:val="ListParagraph"/>
        <w:numPr>
          <w:ilvl w:val="0"/>
          <w:numId w:val="2"/>
        </w:numPr>
        <w:spacing w:after="100"/>
      </w:pPr>
      <w:r>
        <w:t xml:space="preserve">Fuel: the vehicle must be returned with the same fuel level as at the time of delivery. In the event of a shortage, the Company has the right to charge the cost of the missing fuel in addition to a fuel-return penalty fee of SAR 50 only.</w:t>
      </w:r>
    </w:p>
    <w:p>
      <w:pPr>
        <w:pStyle w:val="ListParagraph"/>
        <w:numPr>
          <w:ilvl w:val="0"/>
          <w:numId w:val="2"/>
        </w:numPr>
        <w:spacing w:after="100"/>
      </w:pPr>
      <w:r>
        <w:t xml:space="preserve">Late Return: a grace period not exceeding two hours is allowed. If the grace period is exceeded, one full additional rental day will be charged at the standard daily rates.</w:t>
      </w:r>
    </w:p>
    <w:p>
      <w:pPr>
        <w:spacing w:after="120" w:before="240"/>
      </w:pPr>
      <w:r>
        <w:rPr>
          <w:b/>
          <w:bCs/>
          <w:sz w:val="26"/>
          <w:szCs w:val="26"/>
        </w:rPr>
        <w:t xml:space="preserve">4. Prices, Payment, and Financial Authorization</w:t>
      </w:r>
    </w:p>
    <w:p>
      <w:pPr>
        <w:pStyle w:val="ListParagraph"/>
        <w:numPr>
          <w:ilvl w:val="0"/>
          <w:numId w:val="2"/>
        </w:numPr>
        <w:spacing w:after="100"/>
      </w:pPr>
      <w:r>
        <w:t xml:space="preserve">Payment Methods: the Company accepts payment by credit card, mada cards, or bank transfer through the application. Cash payment is subject to branch policy.</w:t>
      </w:r>
    </w:p>
    <w:p>
      <w:pPr>
        <w:pStyle w:val="ListParagraph"/>
        <w:numPr>
          <w:ilvl w:val="0"/>
          <w:numId w:val="2"/>
        </w:numPr>
        <w:spacing w:after="100"/>
      </w:pPr>
      <w:r>
        <w:t xml:space="preserve">Taxes: all displayed prices are subject to Value Added Tax (VAT) at the rate of 15% applicable in the Kingdom of Saudi Arabia.</w:t>
      </w:r>
    </w:p>
    <w:p>
      <w:pPr>
        <w:pStyle w:val="ListParagraph"/>
        <w:numPr>
          <w:ilvl w:val="0"/>
          <w:numId w:val="2"/>
        </w:numPr>
        <w:spacing w:after="100"/>
      </w:pPr>
      <w:r>
        <w:t xml:space="preserve">Bank Authorization (Held Amount): the Company has the right to hold an amount on the customer’s credit card as a "refundable security deposit" to cover any traffic violations or damages not covered by insurance. The amount is refunded within 14 to 21 business days after the vehicle is returned.</w:t>
      </w:r>
    </w:p>
    <w:p>
      <w:pPr>
        <w:spacing w:after="120" w:before="240"/>
      </w:pPr>
      <w:r>
        <w:rPr>
          <w:b/>
          <w:bCs/>
          <w:sz w:val="26"/>
          <w:szCs w:val="26"/>
        </w:rPr>
        <w:t xml:space="preserve">5. Insurance and Accidents</w:t>
      </w:r>
    </w:p>
    <w:p>
      <w:pPr>
        <w:pStyle w:val="ListParagraph"/>
        <w:numPr>
          <w:ilvl w:val="0"/>
          <w:numId w:val="2"/>
        </w:numPr>
        <w:spacing w:after="100"/>
      </w:pPr>
      <w:r>
        <w:t xml:space="preserve">Comprehensive Insurance: all of the Company’s vehicles are covered by comprehensive insurance with a deductible (excess) borne by the renter in cases where the accident is against an unknown party or where the renter is at fault in the accident. The deductible varies according to the vehicle category and is specified in the contract.</w:t>
      </w:r>
    </w:p>
    <w:p>
      <w:pPr>
        <w:pStyle w:val="ListParagraph"/>
        <w:numPr>
          <w:ilvl w:val="0"/>
          <w:numId w:val="2"/>
        </w:numPr>
        <w:spacing w:after="100"/>
      </w:pPr>
      <w:r>
        <w:t xml:space="preserve">Procedures in the Event of an Accident: in the event of an accident (God forbid), the renter must:</w:t>
      </w:r>
    </w:p>
    <w:p>
      <w:pPr>
        <w:spacing w:after="120"/>
        <w:ind w:left="720"/>
      </w:pPr>
      <w:r>
        <w:t xml:space="preserve">1. Not move the vehicle from the accident site.</w:t>
      </w:r>
    </w:p>
    <w:p>
      <w:pPr>
        <w:spacing w:after="120"/>
        <w:ind w:left="720"/>
      </w:pPr>
      <w:r>
        <w:t xml:space="preserve">2. Immediately call Traffic Police at 993 or Najm at 920000560 to obtain the accident report.</w:t>
      </w:r>
    </w:p>
    <w:p>
      <w:pPr>
        <w:spacing w:after="120"/>
        <w:ind w:left="720"/>
      </w:pPr>
      <w:r>
        <w:t xml:space="preserve">3. Immediately notify Customer Service — Rawaes Car Rental.</w:t>
      </w:r>
    </w:p>
    <w:p>
      <w:pPr>
        <w:pStyle w:val="ListParagraph"/>
        <w:numPr>
          <w:ilvl w:val="0"/>
          <w:numId w:val="2"/>
        </w:numPr>
        <w:spacing w:after="100"/>
      </w:pPr>
      <w:r>
        <w:t xml:space="preserve">Insurance Exclusions: the renter forfeits the right to insurance coverage and bears the full costs in the following cases:</w:t>
      </w:r>
    </w:p>
    <w:p>
      <w:pPr>
        <w:spacing w:after="120"/>
        <w:ind w:left="720"/>
      </w:pPr>
      <w:r>
        <w:t xml:space="preserve">– Driving under the influence of alcohol or drugs.</w:t>
      </w:r>
    </w:p>
    <w:p>
      <w:pPr>
        <w:spacing w:after="120"/>
        <w:ind w:left="720"/>
      </w:pPr>
      <w:r>
        <w:t xml:space="preserve">– Running a red light or driving against the direction of traffic.</w:t>
      </w:r>
    </w:p>
    <w:p>
      <w:pPr>
        <w:spacing w:after="120"/>
        <w:ind w:left="720"/>
      </w:pPr>
      <w:r>
        <w:t xml:space="preserve">– Allowing an unauthorized person not registered in the contract to drive the vehicle.</w:t>
      </w:r>
    </w:p>
    <w:p>
      <w:pPr>
        <w:spacing w:after="120"/>
        <w:ind w:left="720"/>
      </w:pPr>
      <w:r>
        <w:t xml:space="preserve">– Using the vehicle in races or off roads not designed for driving.</w:t>
      </w:r>
    </w:p>
    <w:p>
      <w:pPr>
        <w:spacing w:after="120" w:before="240"/>
      </w:pPr>
      <w:r>
        <w:rPr>
          <w:b/>
          <w:bCs/>
          <w:sz w:val="26"/>
          <w:szCs w:val="26"/>
        </w:rPr>
        <w:t xml:space="preserve">6. Prohibitions and Restrictions on Use</w:t>
      </w:r>
    </w:p>
    <w:p>
      <w:pPr>
        <w:spacing w:after="120"/>
      </w:pPr>
      <w:r>
        <w:t xml:space="preserve">It is strictly prohibited to use the vehicles for the following purposes:</w:t>
      </w:r>
    </w:p>
    <w:p>
      <w:pPr>
        <w:pStyle w:val="ListParagraph"/>
        <w:numPr>
          <w:ilvl w:val="0"/>
          <w:numId w:val="2"/>
        </w:numPr>
        <w:spacing w:after="100"/>
      </w:pPr>
      <w:r>
        <w:t xml:space="preserve">Sub-renting the vehicle to a third party.</w:t>
      </w:r>
    </w:p>
    <w:p>
      <w:pPr>
        <w:pStyle w:val="ListParagraph"/>
        <w:numPr>
          <w:ilvl w:val="0"/>
          <w:numId w:val="2"/>
        </w:numPr>
        <w:spacing w:after="100"/>
      </w:pPr>
      <w:r>
        <w:t xml:space="preserve">Using the vehicle for unlicensed commercial purposes, such as passenger or public transport, or carrying heavy goods.</w:t>
      </w:r>
    </w:p>
    <w:p>
      <w:pPr>
        <w:pStyle w:val="ListParagraph"/>
        <w:numPr>
          <w:ilvl w:val="0"/>
          <w:numId w:val="2"/>
        </w:numPr>
        <w:spacing w:after="100"/>
      </w:pPr>
      <w:r>
        <w:t xml:space="preserve">Taking the vehicle outside the territorial borders of the Kingdom of Saudi Arabia without obtaining written international authorization from the Company and paying the prescribed fees.</w:t>
      </w:r>
    </w:p>
    <w:p>
      <w:pPr>
        <w:pStyle w:val="ListParagraph"/>
        <w:numPr>
          <w:ilvl w:val="0"/>
          <w:numId w:val="2"/>
        </w:numPr>
        <w:spacing w:after="100"/>
      </w:pPr>
      <w:r>
        <w:t xml:space="preserve">Transporting flammable materials, explosives, or any materials prohibited by Saudi law.</w:t>
      </w:r>
    </w:p>
    <w:p>
      <w:pPr>
        <w:spacing w:after="120" w:before="240"/>
      </w:pPr>
      <w:r>
        <w:rPr>
          <w:b/>
          <w:bCs/>
          <w:sz w:val="26"/>
          <w:szCs w:val="26"/>
        </w:rPr>
        <w:t xml:space="preserve">7. Traffic Violations</w:t>
      </w:r>
    </w:p>
    <w:p>
      <w:pPr>
        <w:spacing w:after="120"/>
      </w:pPr>
      <w:r>
        <w:t xml:space="preserve">Under the authorization issued through the "Tamm" system, the renter bears full legal and financial responsibility for all traffic violations recorded against the vehicle during the actual contract period and until the Company takes back the vehicle.</w:t>
      </w:r>
    </w:p>
    <w:p>
      <w:pPr>
        <w:spacing w:after="120" w:before="240"/>
      </w:pPr>
      <w:r>
        <w:rPr>
          <w:b/>
          <w:bCs/>
          <w:sz w:val="26"/>
          <w:szCs w:val="26"/>
        </w:rPr>
        <w:t xml:space="preserve">8. Privacy and Data Protection</w:t>
      </w:r>
    </w:p>
    <w:p>
      <w:pPr>
        <w:pStyle w:val="ListParagraph"/>
        <w:numPr>
          <w:ilvl w:val="0"/>
          <w:numId w:val="2"/>
        </w:numPr>
        <w:spacing w:after="100"/>
      </w:pPr>
      <w:r>
        <w:t xml:space="preserve">Rawaes Company is committed to protecting your personal data in accordance with the Personal Data Protection Law of the Kingdom of Saudi Arabia.</w:t>
      </w:r>
    </w:p>
    <w:p>
      <w:pPr>
        <w:pStyle w:val="ListParagraph"/>
        <w:numPr>
          <w:ilvl w:val="0"/>
          <w:numId w:val="2"/>
        </w:numPr>
        <w:spacing w:after="100"/>
      </w:pPr>
      <w:r>
        <w:t xml:space="preserve">Your data is used solely for the purposes of completing the booking, issuing the traffic authorization, and improving the level of service.</w:t>
      </w:r>
    </w:p>
    <w:p>
      <w:pPr>
        <w:spacing w:after="120" w:before="240"/>
      </w:pPr>
      <w:r>
        <w:rPr>
          <w:b/>
          <w:bCs/>
          <w:sz w:val="26"/>
          <w:szCs w:val="26"/>
        </w:rPr>
        <w:t xml:space="preserve">9. Governing Law and Dispute Resolution</w:t>
      </w:r>
    </w:p>
    <w:p>
      <w:pPr>
        <w:pStyle w:val="ListParagraph"/>
        <w:numPr>
          <w:ilvl w:val="0"/>
          <w:numId w:val="2"/>
        </w:numPr>
        <w:spacing w:after="100"/>
      </w:pPr>
      <w:r>
        <w:t xml:space="preserve">These terms and conditions are governed by the laws and regulations in force in the Kingdom of Saudi Arabia.</w:t>
      </w:r>
    </w:p>
    <w:p>
      <w:pPr>
        <w:pStyle w:val="ListParagraph"/>
        <w:numPr>
          <w:ilvl w:val="0"/>
          <w:numId w:val="2"/>
        </w:numPr>
        <w:spacing w:after="100"/>
      </w:pPr>
      <w:r>
        <w:t xml:space="preserve">In the event of any dispute (God forbid) concerning the interpretation or implementation of these terms, it shall be resolved amicably. If that is not possible, the Saudi courts in the city of Madinah (Al-Madinah Al-Munawwarah) shall have jurisdiction over the dispute.</w:t>
      </w:r>
    </w:p>
    <w:p>
      <w:pPr>
        <w:spacing w:after="120" w:before="240"/>
      </w:pPr>
      <w:r>
        <w:rPr>
          <w:b/>
          <w:bCs/>
          <w:sz w:val="26"/>
          <w:szCs w:val="26"/>
        </w:rPr>
        <w:t xml:space="preserve">10. Hours of Delay</w:t>
      </w:r>
    </w:p>
    <w:p>
      <w:pPr>
        <w:spacing w:after="120" w:before="240"/>
      </w:pPr>
      <w:r>
        <w:rPr>
          <w:b/>
          <w:bCs/>
          <w:sz w:val="26"/>
          <w:szCs w:val="26"/>
        </w:rPr>
        <w:t xml:space="preserve">Customer Acknowledgment</w:t>
      </w:r>
    </w:p>
    <w:p>
      <w:pPr>
        <w:spacing w:after="120"/>
      </w:pPr>
      <w:r>
        <w:t xml:space="preserve">By using the application and giving your electronic consent when completing the booking, you acknowledge that you have read and understood these terms and conditions, and you agree to fully comply with all of their provisions.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2026-07-12T10:49:42.056Z</dcterms:created>
  <dcterms:modified xsi:type="dcterms:W3CDTF">2026-07-12T10:49:42.068Z</dcterms:modified>
</cp:coreProperties>
</file>

<file path=docProps/custom.xml><?xml version="1.0" encoding="utf-8"?>
<Properties xmlns="http://schemas.openxmlformats.org/officeDocument/2006/custom-properties" xmlns:vt="http://schemas.openxmlformats.org/officeDocument/2006/docPropsVTypes"/>
</file>