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Sample AI Article</w:t>
      </w:r>
    </w:p>
    <w:p>
      <w:pPr>
        <w:spacing w:after="280"/>
      </w:pPr>
      <w:r>
        <w:rPr>
          <w:i/>
          <w:iCs/>
          <w:color w:val="52616B"/>
          <w:sz w:val="20"/>
          <w:szCs w:val="20"/>
        </w:rPr>
        <w:t xml:space="preserve">Hum Medicals AI educational draft</w:t>
      </w:r>
    </w:p>
    <w:p>
      <w:pPr>
        <w:pStyle w:val="Heading1"/>
        <w:spacing w:after="120" w:before="240"/>
      </w:pPr>
      <w:r>
        <w:t xml:space="preserve">Overview</w:t>
      </w:r>
    </w:p>
    <w:p>
      <w:pPr>
        <w:spacing w:after="120" w:line="264"/>
      </w:pPr>
      <w:r>
        <w:t xml:space="preserve">This sample verifies the editable Word export used by the AI article generator.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Review all generated content against current guidance and local clinical protocols.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AI Article</dc:title>
  <dc:creator>Hum Medicals</dc:creator>
  <cp:lastModifiedBy>Un-named</cp:lastModifiedBy>
  <cp:revision>1</cp:revision>
  <dcterms:created xsi:type="dcterms:W3CDTF">2026-07-20T09:47:34.159Z</dcterms:created>
  <dcterms:modified xsi:type="dcterms:W3CDTF">2026-07-20T09:47:34.161Z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