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993271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993271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99327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993271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993271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993271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F9738C">
        <w:rPr>
          <w:b/>
          <w:sz w:val="36"/>
          <w:szCs w:val="36"/>
        </w:rPr>
        <w:t>NET CENTRIC COMPUTING</w:t>
      </w:r>
      <w:r w:rsidR="00993271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993271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99327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A640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:Sixth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F9738C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Dharma Raj Poudel</w:t>
            </w:r>
            <w:bookmarkStart w:id="0" w:name="_GoBack"/>
            <w:bookmarkEnd w:id="0"/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993271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993271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993271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993271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2E0C7D"/>
    <w:rsid w:val="004D4D19"/>
    <w:rsid w:val="00993271"/>
    <w:rsid w:val="00B22A76"/>
    <w:rsid w:val="00E1041A"/>
    <w:rsid w:val="00EA6408"/>
    <w:rsid w:val="00F7598C"/>
    <w:rsid w:val="00F77DF9"/>
    <w:rsid w:val="00F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2024-07-18T08:38:00Z</dcterms:created>
  <dcterms:modified xsi:type="dcterms:W3CDTF">2024-07-18T08:38:00Z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