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2x8g73dylg5" w:id="0"/>
      <w:bookmarkEnd w:id="0"/>
      <w:r w:rsidDel="00000000" w:rsidR="00000000" w:rsidRPr="00000000">
        <w:rPr>
          <w:rtl w:val="0"/>
        </w:rPr>
        <w:t xml:space="preserve">Enterprise Workshop: OpenLoop</w:t>
      </w:r>
    </w:p>
    <w:p w:rsidR="00000000" w:rsidDel="00000000" w:rsidP="00000000" w:rsidRDefault="00000000" w:rsidRPr="00000000" w14:paraId="00000002">
      <w:pPr>
        <w:pStyle w:val="Heading2"/>
        <w:rPr/>
      </w:pPr>
      <w:bookmarkStart w:colFirst="0" w:colLast="0" w:name="_etfco8d9cns" w:id="1"/>
      <w:bookmarkEnd w:id="1"/>
      <w:r w:rsidDel="00000000" w:rsidR="00000000" w:rsidRPr="00000000">
        <w:rPr>
          <w:rtl w:val="0"/>
        </w:rPr>
        <w:t xml:space="preserve">Objective</w:t>
      </w:r>
    </w:p>
    <w:p w:rsidR="00000000" w:rsidDel="00000000" w:rsidP="00000000" w:rsidRDefault="00000000" w:rsidRPr="00000000" w14:paraId="00000003">
      <w:pPr>
        <w:rPr/>
      </w:pPr>
      <w:r w:rsidDel="00000000" w:rsidR="00000000" w:rsidRPr="00000000">
        <w:rPr>
          <w:rtl w:val="0"/>
        </w:rPr>
        <w:t xml:space="preserve">Achieve proof of value by delivering a </w:t>
      </w:r>
      <w:r w:rsidDel="00000000" w:rsidR="00000000" w:rsidRPr="00000000">
        <w:rPr>
          <w:b w:val="1"/>
          <w:bCs w:val="1"/>
          <w:rtl w:val="0"/>
        </w:rPr>
        <w:t xml:space="preserve">business-ready MVP</w:t>
      </w:r>
      <w:r w:rsidDel="00000000" w:rsidR="00000000" w:rsidRPr="00000000">
        <w:rPr>
          <w:rtl w:val="0"/>
        </w:rPr>
        <w:t xml:space="preserve"> within 1 week. This MVP should de-risk major elements of OpenLoop’s implementation. </w:t>
      </w:r>
    </w:p>
    <w:p w:rsidR="00000000" w:rsidDel="00000000" w:rsidP="00000000" w:rsidRDefault="00000000" w:rsidRPr="00000000" w14:paraId="00000004">
      <w:pPr>
        <w:pStyle w:val="Heading2"/>
        <w:rPr/>
      </w:pPr>
      <w:bookmarkStart w:colFirst="0" w:colLast="0" w:name="_otr2xa7wb3gq" w:id="2"/>
      <w:bookmarkEnd w:id="2"/>
      <w:r w:rsidDel="00000000" w:rsidR="00000000" w:rsidRPr="00000000">
        <w:rPr>
          <w:rtl w:val="0"/>
        </w:rPr>
        <w:t xml:space="preserve">Format</w:t>
      </w:r>
    </w:p>
    <w:p w:rsidR="00000000" w:rsidDel="00000000" w:rsidP="00000000" w:rsidRDefault="00000000" w:rsidRPr="00000000" w14:paraId="00000005">
      <w:pPr>
        <w:rPr/>
      </w:pPr>
      <w:r w:rsidDel="00000000" w:rsidR="00000000" w:rsidRPr="00000000">
        <w:rPr>
          <w:rtl w:val="0"/>
        </w:rPr>
        <w:t xml:space="preserve">This workshop will be tailored to the specific enterprise needs of OpenLoop. It will primarily consist of working sessions and pair programming sessions, each of which will have a </w:t>
      </w:r>
      <w:r w:rsidDel="00000000" w:rsidR="00000000" w:rsidRPr="00000000">
        <w:rPr>
          <w:b w:val="1"/>
          <w:bCs w:val="1"/>
          <w:rtl w:val="0"/>
        </w:rPr>
        <w:t xml:space="preserve">specific, concrete deliverable</w:t>
      </w:r>
      <w:r w:rsidDel="00000000" w:rsidR="00000000" w:rsidRPr="00000000">
        <w:rPr>
          <w:rtl w:val="0"/>
        </w:rPr>
        <w:t xml:space="preserve"> that accretes towards OpenLoop’s production application.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Each working session will typically be in the morning, with time afterwards for engineers to continue their implementation. </w:t>
      </w:r>
      <w:r w:rsidDel="00000000" w:rsidR="00000000" w:rsidRPr="00000000">
        <w:rPr>
          <w:b w:val="1"/>
          <w:bCs w:val="1"/>
          <w:rtl w:val="0"/>
        </w:rPr>
        <w:t xml:space="preserve">To get the most value from this workshop, Medplum recommends that managers allocate “deep work” time for their team following each session.</w:t>
      </w:r>
      <w:r w:rsidDel="00000000" w:rsidR="00000000" w:rsidRPr="00000000">
        <w:rPr>
          <w:rtl w:val="0"/>
        </w:rPr>
      </w:r>
    </w:p>
    <w:p w:rsidR="00000000" w:rsidDel="00000000" w:rsidP="00000000" w:rsidRDefault="00000000" w:rsidRPr="00000000" w14:paraId="00000008">
      <w:pPr>
        <w:pStyle w:val="Heading2"/>
        <w:rPr/>
      </w:pPr>
      <w:bookmarkStart w:colFirst="0" w:colLast="0" w:name="_t3gkixriv6sr" w:id="3"/>
      <w:bookmarkEnd w:id="3"/>
      <w:r w:rsidDel="00000000" w:rsidR="00000000" w:rsidRPr="00000000">
        <w:rPr>
          <w:rtl w:val="0"/>
        </w:rPr>
        <w:t xml:space="preserve">Clinical MVP</w:t>
      </w:r>
    </w:p>
    <w:p w:rsidR="00000000" w:rsidDel="00000000" w:rsidP="00000000" w:rsidRDefault="00000000" w:rsidRPr="00000000" w14:paraId="00000009">
      <w:pPr>
        <w:rPr/>
      </w:pPr>
      <w:r w:rsidDel="00000000" w:rsidR="00000000" w:rsidRPr="00000000">
        <w:rPr>
          <w:rtl w:val="0"/>
        </w:rPr>
        <w:t xml:space="preserve">To orient workshop sessions and define scope, Medplum and OpenLoop will align on a “clinical MVP”, which is the target deliverable for the workshop.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i w:val="1"/>
          <w:iCs w:val="1"/>
          <w:highlight w:val="yellow"/>
        </w:rPr>
      </w:pPr>
      <w:bookmarkStart w:colFirst="0" w:colLast="0" w:name="_hns8rcocm9bt" w:id="4"/>
      <w:bookmarkEnd w:id="4"/>
      <w:r w:rsidDel="00000000" w:rsidR="00000000" w:rsidRPr="00000000">
        <w:rPr>
          <w:i w:val="1"/>
          <w:iCs w:val="1"/>
          <w:sz w:val="20"/>
          <w:szCs w:val="20"/>
          <w:highlight w:val="yellow"/>
          <w:rtl w:val="0"/>
        </w:rPr>
        <w:t xml:space="preserve">What is the minimal end-to-end clinical user workflow that you would like to build within 1 month?</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An OpenLoop client can:</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Access Openloop’s Main MWL Intake Questionnaire, which represents all the information Openloop needs to capture to see a patient </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Configure client-specific MWL intake Questionnaire resources </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View their patients’ Questionnaires and QuestionnaireResponses (multi-tenant isolation)</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Be alerted by Openloop when Openloop changes their Main MWL Intake Questionnaire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 Openloop developer/admin can:</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Write a Medplum Bot to convert a client-specific Questionnaire’s QuestionnaireResponse into Openloop’s Main MWL Intake Questionnaire’s QuestionnaireResponse</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Write a Medplum Bot to convert Main MWL Intake QuestionnaireResponses into clinical FHIR resources </w:t>
      </w:r>
    </w:p>
    <w:p w:rsidR="00000000" w:rsidDel="00000000" w:rsidP="00000000" w:rsidRDefault="00000000" w:rsidRPr="00000000" w14:paraId="00000015">
      <w:pPr>
        <w:numPr>
          <w:ilvl w:val="0"/>
          <w:numId w:val="3"/>
        </w:numPr>
        <w:ind w:left="720" w:hanging="360"/>
        <w:rPr>
          <w:u w:val="none"/>
        </w:rPr>
        <w:sectPr>
          <w:pgSz w:h="15840" w:w="12240" w:orient="portrait"/>
          <w:pgMar w:bottom="1440" w:top="1440" w:left="1440" w:right="1440" w:header="720" w:footer="720"/>
          <w:pgNumType w:start="1"/>
        </w:sectPr>
      </w:pPr>
      <w:r w:rsidDel="00000000" w:rsidR="00000000" w:rsidRPr="00000000">
        <w:rPr>
          <w:rtl w:val="0"/>
        </w:rPr>
        <w:t xml:space="preserve">Provision new tenants for new clients </w:t>
      </w:r>
      <w:r w:rsidDel="00000000" w:rsidR="00000000" w:rsidRPr="00000000">
        <w:rPr>
          <w:rtl w:val="0"/>
        </w:rPr>
      </w:r>
    </w:p>
    <w:p w:rsidR="00000000" w:rsidDel="00000000" w:rsidP="00000000" w:rsidRDefault="00000000" w:rsidRPr="00000000" w14:paraId="00000016">
      <w:pPr>
        <w:pStyle w:val="Heading2"/>
        <w:rPr/>
      </w:pPr>
      <w:bookmarkStart w:colFirst="0" w:colLast="0" w:name="_xby18v4ra73o" w:id="5"/>
      <w:bookmarkEnd w:id="5"/>
      <w:r w:rsidDel="00000000" w:rsidR="00000000" w:rsidRPr="00000000">
        <w:rPr>
          <w:rtl w:val="0"/>
        </w:rPr>
        <w:t xml:space="preserve">Sessions</w:t>
      </w:r>
    </w:p>
    <w:p w:rsidR="00000000" w:rsidDel="00000000" w:rsidP="00000000" w:rsidRDefault="00000000" w:rsidRPr="00000000" w14:paraId="00000017">
      <w:pPr>
        <w:widowControl w:val="0"/>
        <w:rPr>
          <w:rFonts w:ascii="Arial" w:cs="Arial" w:eastAsia="Arial" w:hAnsi="Arial"/>
          <w:sz w:val="22"/>
          <w:szCs w:val="22"/>
        </w:rPr>
      </w:pPr>
      <w:r w:rsidDel="00000000" w:rsidR="00000000" w:rsidRPr="00000000">
        <w:rPr>
          <w:rtl w:val="0"/>
        </w:rPr>
      </w:r>
    </w:p>
    <w:tbl>
      <w:tblPr>
        <w:tblStyle w:val="Table1"/>
        <w:tblW w:w="14115.0" w:type="dxa"/>
        <w:jc w:val="left"/>
        <w:tblInd w:w="-750.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505"/>
        <w:gridCol w:w="2565"/>
        <w:gridCol w:w="3135"/>
        <w:gridCol w:w="3135"/>
        <w:gridCol w:w="2775"/>
        <w:tblGridChange w:id="0">
          <w:tblGrid>
            <w:gridCol w:w="2505"/>
            <w:gridCol w:w="2565"/>
            <w:gridCol w:w="3135"/>
            <w:gridCol w:w="3135"/>
            <w:gridCol w:w="2775"/>
          </w:tblGrid>
        </w:tblGridChange>
      </w:tblGrid>
      <w:tr>
        <w:trPr>
          <w:cantSplit w:val="0"/>
          <w:trHeight w:val="540" w:hRule="atLeast"/>
          <w:tblHeader w:val="0"/>
        </w:trPr>
        <w:tc>
          <w:tcPr>
            <w:shd w:fill="cccccc" w:val="clear"/>
            <w:tcMar>
              <w:top w:w="140.0" w:type="dxa"/>
              <w:left w:w="140.0" w:type="dxa"/>
              <w:bottom w:w="140.0" w:type="dxa"/>
              <w:right w:w="140.0" w:type="dxa"/>
            </w:tcMar>
            <w:vAlign w:val="top"/>
          </w:tcPr>
          <w:p w:rsidR="00000000" w:rsidDel="00000000" w:rsidP="00000000" w:rsidRDefault="00000000" w:rsidRPr="00000000" w14:paraId="00000018">
            <w:pPr>
              <w:spacing w:line="240" w:lineRule="auto"/>
              <w:rPr>
                <w:b w:val="1"/>
                <w:bCs w:val="1"/>
              </w:rPr>
            </w:pPr>
            <w:r w:rsidDel="00000000" w:rsidR="00000000" w:rsidRPr="00000000">
              <w:rPr>
                <w:b w:val="1"/>
                <w:bCs w:val="1"/>
                <w:rtl w:val="0"/>
              </w:rPr>
              <w:t xml:space="preserve">Session</w:t>
            </w:r>
          </w:p>
        </w:tc>
        <w:tc>
          <w:tcPr>
            <w:shd w:fill="cccccc" w:val="clear"/>
            <w:tcMar>
              <w:top w:w="140.0" w:type="dxa"/>
              <w:left w:w="140.0" w:type="dxa"/>
              <w:bottom w:w="140.0" w:type="dxa"/>
              <w:right w:w="140.0" w:type="dxa"/>
            </w:tcMar>
            <w:vAlign w:val="top"/>
          </w:tcPr>
          <w:p w:rsidR="00000000" w:rsidDel="00000000" w:rsidP="00000000" w:rsidRDefault="00000000" w:rsidRPr="00000000" w14:paraId="00000019">
            <w:pPr>
              <w:spacing w:line="240" w:lineRule="auto"/>
              <w:rPr>
                <w:b w:val="1"/>
                <w:bCs w:val="1"/>
              </w:rPr>
            </w:pPr>
            <w:r w:rsidDel="00000000" w:rsidR="00000000" w:rsidRPr="00000000">
              <w:rPr>
                <w:b w:val="1"/>
                <w:bCs w:val="1"/>
                <w:rtl w:val="0"/>
              </w:rPr>
              <w:t xml:space="preserve">Topics</w:t>
            </w:r>
          </w:p>
        </w:tc>
        <w:tc>
          <w:tcPr>
            <w:shd w:fill="cccccc" w:val="clear"/>
            <w:tcMar>
              <w:top w:w="140.0" w:type="dxa"/>
              <w:left w:w="140.0" w:type="dxa"/>
              <w:bottom w:w="140.0" w:type="dxa"/>
              <w:right w:w="140.0" w:type="dxa"/>
            </w:tcMar>
            <w:vAlign w:val="top"/>
          </w:tcPr>
          <w:p w:rsidR="00000000" w:rsidDel="00000000" w:rsidP="00000000" w:rsidRDefault="00000000" w:rsidRPr="00000000" w14:paraId="0000001A">
            <w:pPr>
              <w:spacing w:line="240" w:lineRule="auto"/>
              <w:rPr>
                <w:b w:val="1"/>
                <w:bCs w:val="1"/>
              </w:rPr>
            </w:pPr>
            <w:r w:rsidDel="00000000" w:rsidR="00000000" w:rsidRPr="00000000">
              <w:rPr>
                <w:b w:val="1"/>
                <w:bCs w:val="1"/>
                <w:rtl w:val="0"/>
              </w:rPr>
              <w:t xml:space="preserve">Prerequisites</w:t>
            </w:r>
          </w:p>
        </w:tc>
        <w:tc>
          <w:tcPr>
            <w:shd w:fill="cccccc" w:val="clear"/>
            <w:tcMar>
              <w:top w:w="140.0" w:type="dxa"/>
              <w:left w:w="140.0" w:type="dxa"/>
              <w:bottom w:w="140.0" w:type="dxa"/>
              <w:right w:w="140.0" w:type="dxa"/>
            </w:tcMar>
            <w:vAlign w:val="top"/>
          </w:tcPr>
          <w:p w:rsidR="00000000" w:rsidDel="00000000" w:rsidP="00000000" w:rsidRDefault="00000000" w:rsidRPr="00000000" w14:paraId="0000001B">
            <w:pPr>
              <w:spacing w:line="240" w:lineRule="auto"/>
              <w:rPr>
                <w:b w:val="1"/>
                <w:bCs w:val="1"/>
              </w:rPr>
            </w:pPr>
            <w:r w:rsidDel="00000000" w:rsidR="00000000" w:rsidRPr="00000000">
              <w:rPr>
                <w:b w:val="1"/>
                <w:bCs w:val="1"/>
                <w:rtl w:val="0"/>
              </w:rPr>
              <w:t xml:space="preserve">Deliverables (per Developer)</w:t>
            </w:r>
          </w:p>
        </w:tc>
        <w:tc>
          <w:tcPr>
            <w:shd w:fill="cccccc" w:val="clear"/>
            <w:tcMar>
              <w:top w:w="140.0" w:type="dxa"/>
              <w:left w:w="140.0" w:type="dxa"/>
              <w:bottom w:w="140.0" w:type="dxa"/>
              <w:right w:w="140.0" w:type="dxa"/>
            </w:tcMar>
            <w:vAlign w:val="top"/>
          </w:tcPr>
          <w:p w:rsidR="00000000" w:rsidDel="00000000" w:rsidP="00000000" w:rsidRDefault="00000000" w:rsidRPr="00000000" w14:paraId="0000001C">
            <w:pPr>
              <w:spacing w:line="240" w:lineRule="auto"/>
              <w:rPr>
                <w:b w:val="1"/>
                <w:bCs w:val="1"/>
              </w:rPr>
            </w:pPr>
            <w:r w:rsidDel="00000000" w:rsidR="00000000" w:rsidRPr="00000000">
              <w:rPr>
                <w:b w:val="1"/>
                <w:bCs w:val="1"/>
                <w:rtl w:val="0"/>
              </w:rPr>
              <w:t xml:space="preserve">Motivation/Advanced Topics</w:t>
            </w:r>
          </w:p>
        </w:tc>
      </w:tr>
      <w:tr>
        <w:trPr>
          <w:cantSplit w:val="0"/>
          <w:trHeight w:val="525" w:hRule="atLeast"/>
          <w:tblHeader w:val="0"/>
        </w:trPr>
        <w:tc>
          <w:tcPr>
            <w:tcMar>
              <w:top w:w="140.0" w:type="dxa"/>
              <w:left w:w="140.0" w:type="dxa"/>
              <w:bottom w:w="140.0" w:type="dxa"/>
              <w:right w:w="140.0" w:type="dxa"/>
            </w:tcMar>
          </w:tcPr>
          <w:p w:rsidR="00000000" w:rsidDel="00000000" w:rsidP="00000000" w:rsidRDefault="00000000" w:rsidRPr="00000000" w14:paraId="0000001D">
            <w:pPr>
              <w:spacing w:after="100" w:line="180" w:lineRule="auto"/>
              <w:rPr>
                <w:rFonts w:ascii="Cairo" w:cs="Cairo" w:eastAsia="Cairo" w:hAnsi="Cairo"/>
              </w:rPr>
            </w:pPr>
            <w:r w:rsidDel="00000000" w:rsidR="00000000" w:rsidRPr="00000000">
              <w:rPr>
                <w:rFonts w:ascii="Cairo" w:cs="Cairo" w:eastAsia="Cairo" w:hAnsi="Cairo"/>
                <w:rtl w:val="0"/>
              </w:rPr>
              <w:t xml:space="preserve">Day 1: Capturing Intake</w:t>
            </w:r>
          </w:p>
        </w:tc>
        <w:tc>
          <w:tcPr>
            <w:tcMar>
              <w:top w:w="140.0" w:type="dxa"/>
              <w:left w:w="140.0" w:type="dxa"/>
              <w:bottom w:w="140.0" w:type="dxa"/>
              <w:right w:w="140.0" w:type="dxa"/>
            </w:tcMar>
          </w:tcPr>
          <w:p w:rsidR="00000000" w:rsidDel="00000000" w:rsidP="00000000" w:rsidRDefault="00000000" w:rsidRPr="00000000" w14:paraId="0000001E">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Questionnaires</w:t>
            </w:r>
          </w:p>
          <w:p w:rsidR="00000000" w:rsidDel="00000000" w:rsidP="00000000" w:rsidRDefault="00000000" w:rsidRPr="00000000" w14:paraId="0000001F">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Terminology Services </w:t>
            </w:r>
          </w:p>
        </w:tc>
        <w:tc>
          <w:tcPr>
            <w:tcMar>
              <w:top w:w="140.0" w:type="dxa"/>
              <w:left w:w="140.0" w:type="dxa"/>
              <w:bottom w:w="140.0" w:type="dxa"/>
              <w:right w:w="140.0" w:type="dxa"/>
            </w:tcMar>
          </w:tcPr>
          <w:p w:rsidR="00000000" w:rsidDel="00000000" w:rsidP="00000000" w:rsidRDefault="00000000" w:rsidRPr="00000000" w14:paraId="00000020">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Read </w:t>
            </w:r>
            <w:hyperlink r:id="rId6">
              <w:r w:rsidDel="00000000" w:rsidR="00000000" w:rsidRPr="00000000">
                <w:rPr>
                  <w:rFonts w:ascii="Cairo" w:cs="Cairo" w:eastAsia="Cairo" w:hAnsi="Cairo"/>
                  <w:u w:val="single"/>
                  <w:rtl w:val="0"/>
                </w:rPr>
                <w:t xml:space="preserve">FHIR Basics</w:t>
              </w:r>
            </w:hyperlink>
            <w:r w:rsidDel="00000000" w:rsidR="00000000" w:rsidRPr="00000000">
              <w:rPr>
                <w:rtl w:val="0"/>
              </w:rPr>
            </w:r>
          </w:p>
          <w:p w:rsidR="00000000" w:rsidDel="00000000" w:rsidP="00000000" w:rsidRDefault="00000000" w:rsidRPr="00000000" w14:paraId="00000021">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Read </w:t>
            </w:r>
            <w:hyperlink r:id="rId7">
              <w:r w:rsidDel="00000000" w:rsidR="00000000" w:rsidRPr="00000000">
                <w:rPr>
                  <w:rFonts w:ascii="Cairo" w:cs="Cairo" w:eastAsia="Cairo" w:hAnsi="Cairo"/>
                  <w:u w:val="single"/>
                  <w:rtl w:val="0"/>
                </w:rPr>
                <w:t xml:space="preserve">Search Documentation</w:t>
              </w:r>
            </w:hyperlink>
            <w:r w:rsidDel="00000000" w:rsidR="00000000" w:rsidRPr="00000000">
              <w:rPr>
                <w:rtl w:val="0"/>
              </w:rPr>
            </w:r>
          </w:p>
          <w:p w:rsidR="00000000" w:rsidDel="00000000" w:rsidP="00000000" w:rsidRDefault="00000000" w:rsidRPr="00000000" w14:paraId="00000022">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Read </w:t>
            </w:r>
            <w:hyperlink r:id="rId8">
              <w:r w:rsidDel="00000000" w:rsidR="00000000" w:rsidRPr="00000000">
                <w:rPr>
                  <w:rFonts w:ascii="Cairo" w:cs="Cairo" w:eastAsia="Cairo" w:hAnsi="Cairo"/>
                  <w:color w:val="1155cc"/>
                  <w:u w:val="single"/>
                  <w:rtl w:val="0"/>
                </w:rPr>
                <w:t xml:space="preserve">Questionnaires</w:t>
              </w:r>
            </w:hyperlink>
            <w:r w:rsidDel="00000000" w:rsidR="00000000" w:rsidRPr="00000000">
              <w:rPr>
                <w:rFonts w:ascii="Cairo" w:cs="Cairo" w:eastAsia="Cairo" w:hAnsi="Cairo"/>
                <w:rtl w:val="0"/>
              </w:rPr>
              <w:t xml:space="preserve"> </w:t>
            </w:r>
          </w:p>
          <w:p w:rsidR="00000000" w:rsidDel="00000000" w:rsidP="00000000" w:rsidRDefault="00000000" w:rsidRPr="00000000" w14:paraId="00000023">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Read </w:t>
            </w:r>
            <w:hyperlink r:id="rId9">
              <w:r w:rsidDel="00000000" w:rsidR="00000000" w:rsidRPr="00000000">
                <w:rPr>
                  <w:rFonts w:ascii="Cairo" w:cs="Cairo" w:eastAsia="Cairo" w:hAnsi="Cairo"/>
                  <w:color w:val="1155cc"/>
                  <w:u w:val="single"/>
                  <w:rtl w:val="0"/>
                </w:rPr>
                <w:t xml:space="preserve">Terminology Services</w:t>
              </w:r>
            </w:hyperlink>
            <w:r w:rsidDel="00000000" w:rsidR="00000000" w:rsidRPr="00000000">
              <w:rPr>
                <w:rtl w:val="0"/>
              </w:rPr>
            </w:r>
          </w:p>
          <w:p w:rsidR="00000000" w:rsidDel="00000000" w:rsidP="00000000" w:rsidRDefault="00000000" w:rsidRPr="00000000" w14:paraId="00000024">
            <w:pPr>
              <w:widowControl w:val="0"/>
              <w:spacing w:after="100" w:line="180" w:lineRule="auto"/>
              <w:rPr>
                <w:rFonts w:ascii="Cairo" w:cs="Cairo" w:eastAsia="Cairo" w:hAnsi="Cairo"/>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25">
            <w:pPr>
              <w:spacing w:after="100" w:line="180" w:lineRule="auto"/>
              <w:rPr>
                <w:rFonts w:ascii="Cairo" w:cs="Cairo" w:eastAsia="Cairo" w:hAnsi="Cairo"/>
              </w:rPr>
            </w:pPr>
            <w:r w:rsidDel="00000000" w:rsidR="00000000" w:rsidRPr="00000000">
              <w:rPr>
                <w:rFonts w:ascii="Cairo" w:cs="Cairo" w:eastAsia="Cairo" w:hAnsi="Cairo"/>
                <w:rtl w:val="0"/>
              </w:rPr>
              <w:t xml:space="preserve">Create Openloop Main MWL Questionnaire</w:t>
            </w:r>
          </w:p>
          <w:p w:rsidR="00000000" w:rsidDel="00000000" w:rsidP="00000000" w:rsidRDefault="00000000" w:rsidRPr="00000000" w14:paraId="00000026">
            <w:pPr>
              <w:spacing w:after="100" w:line="180" w:lineRule="auto"/>
              <w:rPr>
                <w:rFonts w:ascii="Cairo" w:cs="Cairo" w:eastAsia="Cairo" w:hAnsi="Cairo"/>
              </w:rPr>
            </w:pPr>
            <w:r w:rsidDel="00000000" w:rsidR="00000000" w:rsidRPr="00000000">
              <w:rPr>
                <w:rFonts w:ascii="Cairo" w:cs="Cairo" w:eastAsia="Cairo" w:hAnsi="Cairo"/>
                <w:rtl w:val="0"/>
              </w:rPr>
              <w:t xml:space="preserve">Each developer picks a client-specific intake, and creates the corresponding Questionnaire </w:t>
            </w:r>
          </w:p>
        </w:tc>
        <w:tc>
          <w:tcPr>
            <w:tcMar>
              <w:top w:w="140.0" w:type="dxa"/>
              <w:left w:w="140.0" w:type="dxa"/>
              <w:bottom w:w="140.0" w:type="dxa"/>
              <w:right w:w="140.0" w:type="dxa"/>
            </w:tcMar>
          </w:tcPr>
          <w:p w:rsidR="00000000" w:rsidDel="00000000" w:rsidP="00000000" w:rsidRDefault="00000000" w:rsidRPr="00000000" w14:paraId="00000027">
            <w:pPr>
              <w:spacing w:after="100" w:line="180" w:lineRule="auto"/>
              <w:rPr>
                <w:rFonts w:ascii="Cairo" w:cs="Cairo" w:eastAsia="Cairo" w:hAnsi="Cairo"/>
              </w:rPr>
            </w:pPr>
            <w:r w:rsidDel="00000000" w:rsidR="00000000" w:rsidRPr="00000000">
              <w:rPr>
                <w:rFonts w:ascii="Cairo" w:cs="Cairo" w:eastAsia="Cairo" w:hAnsi="Cairo"/>
                <w:rtl w:val="0"/>
              </w:rPr>
              <w:t xml:space="preserve">How to store intake information in FHIR </w:t>
            </w:r>
          </w:p>
          <w:p w:rsidR="00000000" w:rsidDel="00000000" w:rsidP="00000000" w:rsidRDefault="00000000" w:rsidRPr="00000000" w14:paraId="00000028">
            <w:pPr>
              <w:spacing w:after="100" w:line="180" w:lineRule="auto"/>
              <w:rPr>
                <w:rFonts w:ascii="Cairo" w:cs="Cairo" w:eastAsia="Cairo" w:hAnsi="Cairo"/>
              </w:rPr>
            </w:pPr>
            <w:hyperlink r:id="rId10">
              <w:r w:rsidDel="00000000" w:rsidR="00000000" w:rsidRPr="00000000">
                <w:rPr>
                  <w:rFonts w:ascii="Cairo" w:cs="Cairo" w:eastAsia="Cairo" w:hAnsi="Cairo"/>
                  <w:color w:val="1155cc"/>
                  <w:u w:val="single"/>
                  <w:rtl w:val="0"/>
                </w:rPr>
                <w:t xml:space="preserve">Questionnaire Structured Data Capture</w:t>
              </w:r>
            </w:hyperlink>
            <w:r w:rsidDel="00000000" w:rsidR="00000000" w:rsidRPr="00000000">
              <w:rPr>
                <w:rtl w:val="0"/>
              </w:rPr>
            </w:r>
          </w:p>
        </w:tc>
      </w:tr>
      <w:tr>
        <w:trPr>
          <w:cantSplit w:val="0"/>
          <w:trHeight w:val="690" w:hRule="atLeast"/>
          <w:tblHeader w:val="0"/>
        </w:trPr>
        <w:tc>
          <w:tcPr>
            <w:tcMar>
              <w:top w:w="140.0" w:type="dxa"/>
              <w:left w:w="140.0" w:type="dxa"/>
              <w:bottom w:w="140.0" w:type="dxa"/>
              <w:right w:w="140.0" w:type="dxa"/>
            </w:tcMar>
          </w:tcPr>
          <w:p w:rsidR="00000000" w:rsidDel="00000000" w:rsidP="00000000" w:rsidRDefault="00000000" w:rsidRPr="00000000" w14:paraId="00000029">
            <w:pPr>
              <w:spacing w:after="100" w:line="180" w:lineRule="auto"/>
              <w:rPr>
                <w:rFonts w:ascii="Cairo" w:cs="Cairo" w:eastAsia="Cairo" w:hAnsi="Cairo"/>
              </w:rPr>
            </w:pPr>
            <w:r w:rsidDel="00000000" w:rsidR="00000000" w:rsidRPr="00000000">
              <w:rPr>
                <w:rFonts w:ascii="Cairo" w:cs="Cairo" w:eastAsia="Cairo" w:hAnsi="Cairo"/>
                <w:rtl w:val="0"/>
              </w:rPr>
              <w:t xml:space="preserve">Day 2: Parsing Client-Specific Intake to Main MWL Questionnaire and FHIR Clinical Data</w:t>
            </w:r>
          </w:p>
        </w:tc>
        <w:tc>
          <w:tcPr>
            <w:tcMar>
              <w:top w:w="140.0" w:type="dxa"/>
              <w:left w:w="140.0" w:type="dxa"/>
              <w:bottom w:w="140.0" w:type="dxa"/>
              <w:right w:w="140.0" w:type="dxa"/>
            </w:tcMar>
          </w:tcPr>
          <w:p w:rsidR="00000000" w:rsidDel="00000000" w:rsidP="00000000" w:rsidRDefault="00000000" w:rsidRPr="00000000" w14:paraId="0000002A">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Bots </w:t>
            </w:r>
          </w:p>
          <w:p w:rsidR="00000000" w:rsidDel="00000000" w:rsidP="00000000" w:rsidRDefault="00000000" w:rsidRPr="00000000" w14:paraId="0000002B">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Charting</w:t>
            </w:r>
          </w:p>
        </w:tc>
        <w:tc>
          <w:tcPr>
            <w:tcMar>
              <w:top w:w="140.0" w:type="dxa"/>
              <w:left w:w="140.0" w:type="dxa"/>
              <w:bottom w:w="140.0" w:type="dxa"/>
              <w:right w:w="140.0" w:type="dxa"/>
            </w:tcMar>
          </w:tcPr>
          <w:p w:rsidR="00000000" w:rsidDel="00000000" w:rsidP="00000000" w:rsidRDefault="00000000" w:rsidRPr="00000000" w14:paraId="0000002C">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Read </w:t>
            </w:r>
            <w:hyperlink r:id="rId11">
              <w:r w:rsidDel="00000000" w:rsidR="00000000" w:rsidRPr="00000000">
                <w:rPr>
                  <w:rFonts w:ascii="Cairo" w:cs="Cairo" w:eastAsia="Cairo" w:hAnsi="Cairo"/>
                  <w:color w:val="1155cc"/>
                  <w:u w:val="single"/>
                  <w:rtl w:val="0"/>
                </w:rPr>
                <w:t xml:space="preserve">Bots</w:t>
              </w:r>
            </w:hyperlink>
            <w:r w:rsidDel="00000000" w:rsidR="00000000" w:rsidRPr="00000000">
              <w:rPr>
                <w:rFonts w:ascii="Cairo" w:cs="Cairo" w:eastAsia="Cairo" w:hAnsi="Cairo"/>
                <w:rtl w:val="0"/>
              </w:rPr>
              <w:t xml:space="preserve"> </w:t>
            </w:r>
          </w:p>
          <w:p w:rsidR="00000000" w:rsidDel="00000000" w:rsidP="00000000" w:rsidRDefault="00000000" w:rsidRPr="00000000" w14:paraId="0000002D">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Review </w:t>
            </w:r>
            <w:hyperlink r:id="rId12">
              <w:r w:rsidDel="00000000" w:rsidR="00000000" w:rsidRPr="00000000">
                <w:rPr>
                  <w:rFonts w:ascii="Cairo" w:cs="Cairo" w:eastAsia="Cairo" w:hAnsi="Cairo"/>
                  <w:color w:val="1155cc"/>
                  <w:u w:val="single"/>
                  <w:rtl w:val="0"/>
                </w:rPr>
                <w:t xml:space="preserve">Charting Basics</w:t>
              </w:r>
            </w:hyperlink>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2E">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Each developer creates Bots to parse client-specific QuestionnaireResponses into Main MWL Questionnaire </w:t>
            </w:r>
          </w:p>
          <w:p w:rsidR="00000000" w:rsidDel="00000000" w:rsidP="00000000" w:rsidRDefault="00000000" w:rsidRPr="00000000" w14:paraId="0000002F">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Create Openloop Main MWL Questionnaire Parsing Bot to convert Main MQL Questionnaire to FHIR </w:t>
            </w:r>
          </w:p>
        </w:tc>
        <w:tc>
          <w:tcPr>
            <w:tcMar>
              <w:top w:w="140.0" w:type="dxa"/>
              <w:left w:w="140.0" w:type="dxa"/>
              <w:bottom w:w="140.0" w:type="dxa"/>
              <w:right w:w="140.0" w:type="dxa"/>
            </w:tcMar>
          </w:tcPr>
          <w:p w:rsidR="00000000" w:rsidDel="00000000" w:rsidP="00000000" w:rsidRDefault="00000000" w:rsidRPr="00000000" w14:paraId="00000030">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How to normalize intake information into FHIR resources</w:t>
            </w:r>
          </w:p>
          <w:p w:rsidR="00000000" w:rsidDel="00000000" w:rsidP="00000000" w:rsidRDefault="00000000" w:rsidRPr="00000000" w14:paraId="00000031">
            <w:pPr>
              <w:widowControl w:val="0"/>
              <w:spacing w:after="100" w:line="180" w:lineRule="auto"/>
              <w:rPr>
                <w:rFonts w:ascii="Cairo" w:cs="Cairo" w:eastAsia="Cairo" w:hAnsi="Cairo"/>
              </w:rPr>
            </w:pPr>
            <w:hyperlink r:id="rId13">
              <w:r w:rsidDel="00000000" w:rsidR="00000000" w:rsidRPr="00000000">
                <w:rPr>
                  <w:rFonts w:ascii="Cairo" w:cs="Cairo" w:eastAsia="Cairo" w:hAnsi="Cairo"/>
                  <w:color w:val="1155cc"/>
                  <w:u w:val="single"/>
                  <w:rtl w:val="0"/>
                </w:rPr>
                <w:t xml:space="preserve">Tasking for Clinical Operations</w:t>
              </w:r>
            </w:hyperlink>
            <w:r w:rsidDel="00000000" w:rsidR="00000000" w:rsidRPr="00000000">
              <w:rPr>
                <w:rtl w:val="0"/>
              </w:rPr>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32">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Day 3: Representing Tenants </w:t>
            </w:r>
          </w:p>
        </w:tc>
        <w:tc>
          <w:tcPr>
            <w:tcMar>
              <w:top w:w="140.0" w:type="dxa"/>
              <w:left w:w="140.0" w:type="dxa"/>
              <w:bottom w:w="140.0" w:type="dxa"/>
              <w:right w:w="140.0" w:type="dxa"/>
            </w:tcMar>
          </w:tcPr>
          <w:p w:rsidR="00000000" w:rsidDel="00000000" w:rsidP="00000000" w:rsidRDefault="00000000" w:rsidRPr="00000000" w14:paraId="00000033">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MSO and Multi-Tenancy </w:t>
            </w:r>
          </w:p>
        </w:tc>
        <w:tc>
          <w:tcPr>
            <w:tcMar>
              <w:top w:w="140.0" w:type="dxa"/>
              <w:left w:w="140.0" w:type="dxa"/>
              <w:bottom w:w="140.0" w:type="dxa"/>
              <w:right w:w="140.0" w:type="dxa"/>
            </w:tcMar>
          </w:tcPr>
          <w:p w:rsidR="00000000" w:rsidDel="00000000" w:rsidP="00000000" w:rsidRDefault="00000000" w:rsidRPr="00000000" w14:paraId="00000034">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Read </w:t>
            </w:r>
            <w:hyperlink r:id="rId14">
              <w:r w:rsidDel="00000000" w:rsidR="00000000" w:rsidRPr="00000000">
                <w:rPr>
                  <w:rFonts w:ascii="Cairo" w:cs="Cairo" w:eastAsia="Cairo" w:hAnsi="Cairo"/>
                  <w:color w:val="1155cc"/>
                  <w:u w:val="single"/>
                  <w:rtl w:val="0"/>
                </w:rPr>
                <w:t xml:space="preserve">Multitenant Access Control </w:t>
              </w:r>
            </w:hyperlink>
            <w:r w:rsidDel="00000000" w:rsidR="00000000" w:rsidRPr="00000000">
              <w:rPr>
                <w:rtl w:val="0"/>
              </w:rPr>
            </w:r>
          </w:p>
          <w:p w:rsidR="00000000" w:rsidDel="00000000" w:rsidP="00000000" w:rsidRDefault="00000000" w:rsidRPr="00000000" w14:paraId="00000035">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Review </w:t>
            </w:r>
            <w:hyperlink r:id="rId15">
              <w:r w:rsidDel="00000000" w:rsidR="00000000" w:rsidRPr="00000000">
                <w:rPr>
                  <w:rFonts w:ascii="Cairo" w:cs="Cairo" w:eastAsia="Cairo" w:hAnsi="Cairo"/>
                  <w:color w:val="1155cc"/>
                  <w:u w:val="single"/>
                  <w:rtl w:val="0"/>
                </w:rPr>
                <w:t xml:space="preserve">MSO Example App Video</w:t>
              </w:r>
            </w:hyperlink>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36">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Decide on which roles are needed, and what data those roles need access to </w:t>
            </w:r>
          </w:p>
          <w:p w:rsidR="00000000" w:rsidDel="00000000" w:rsidP="00000000" w:rsidRDefault="00000000" w:rsidRPr="00000000" w14:paraId="00000037">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Set up tenanting resources </w:t>
            </w:r>
          </w:p>
        </w:tc>
        <w:tc>
          <w:tcPr>
            <w:tcMar>
              <w:top w:w="140.0" w:type="dxa"/>
              <w:left w:w="140.0" w:type="dxa"/>
              <w:bottom w:w="140.0" w:type="dxa"/>
              <w:right w:w="140.0" w:type="dxa"/>
            </w:tcMar>
          </w:tcPr>
          <w:p w:rsidR="00000000" w:rsidDel="00000000" w:rsidP="00000000" w:rsidRDefault="00000000" w:rsidRPr="00000000" w14:paraId="00000038">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How to keep patient data separate between tenants while keeping templating resources consistent and customizable </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39">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Day 4: Enrolling Clients and Practitioners </w:t>
            </w:r>
          </w:p>
        </w:tc>
        <w:tc>
          <w:tcPr>
            <w:tcMar>
              <w:top w:w="140.0" w:type="dxa"/>
              <w:left w:w="140.0" w:type="dxa"/>
              <w:bottom w:w="140.0" w:type="dxa"/>
              <w:right w:w="140.0" w:type="dxa"/>
            </w:tcMar>
          </w:tcPr>
          <w:p w:rsidR="00000000" w:rsidDel="00000000" w:rsidP="00000000" w:rsidRDefault="00000000" w:rsidRPr="00000000" w14:paraId="0000003A">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Patient Compartment </w:t>
            </w:r>
          </w:p>
          <w:p w:rsidR="00000000" w:rsidDel="00000000" w:rsidP="00000000" w:rsidRDefault="00000000" w:rsidRPr="00000000" w14:paraId="0000003B">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Access Policies</w:t>
            </w:r>
          </w:p>
        </w:tc>
        <w:tc>
          <w:tcPr>
            <w:tcMar>
              <w:top w:w="140.0" w:type="dxa"/>
              <w:left w:w="140.0" w:type="dxa"/>
              <w:bottom w:w="140.0" w:type="dxa"/>
              <w:right w:w="140.0" w:type="dxa"/>
            </w:tcMar>
          </w:tcPr>
          <w:p w:rsidR="00000000" w:rsidDel="00000000" w:rsidP="00000000" w:rsidRDefault="00000000" w:rsidRPr="00000000" w14:paraId="0000003C">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Read </w:t>
            </w:r>
            <w:hyperlink r:id="rId16">
              <w:r w:rsidDel="00000000" w:rsidR="00000000" w:rsidRPr="00000000">
                <w:rPr>
                  <w:rFonts w:ascii="Cairo" w:cs="Cairo" w:eastAsia="Cairo" w:hAnsi="Cairo"/>
                  <w:color w:val="1155cc"/>
                  <w:u w:val="single"/>
                  <w:rtl w:val="0"/>
                </w:rPr>
                <w:t xml:space="preserve">Assigning Data to Tenants</w:t>
              </w:r>
            </w:hyperlink>
            <w:r w:rsidDel="00000000" w:rsidR="00000000" w:rsidRPr="00000000">
              <w:rPr>
                <w:rtl w:val="0"/>
              </w:rPr>
            </w:r>
          </w:p>
          <w:p w:rsidR="00000000" w:rsidDel="00000000" w:rsidP="00000000" w:rsidRDefault="00000000" w:rsidRPr="00000000" w14:paraId="0000003D">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Read </w:t>
            </w:r>
            <w:hyperlink r:id="rId17">
              <w:r w:rsidDel="00000000" w:rsidR="00000000" w:rsidRPr="00000000">
                <w:rPr>
                  <w:rFonts w:ascii="Cairo" w:cs="Cairo" w:eastAsia="Cairo" w:hAnsi="Cairo"/>
                  <w:color w:val="1155cc"/>
                  <w:u w:val="single"/>
                  <w:rtl w:val="0"/>
                </w:rPr>
                <w:t xml:space="preserve">Access Policies with Tenant Parameterization</w:t>
              </w:r>
            </w:hyperlink>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3E">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Enroll example patients in tenants </w:t>
            </w:r>
          </w:p>
          <w:p w:rsidR="00000000" w:rsidDel="00000000" w:rsidP="00000000" w:rsidRDefault="00000000" w:rsidRPr="00000000" w14:paraId="0000003F">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Create AccessPolicies for Practitioners and Clients </w:t>
            </w:r>
          </w:p>
        </w:tc>
        <w:tc>
          <w:tcPr>
            <w:tcMar>
              <w:top w:w="140.0" w:type="dxa"/>
              <w:left w:w="140.0" w:type="dxa"/>
              <w:bottom w:w="140.0" w:type="dxa"/>
              <w:right w:w="140.0" w:type="dxa"/>
            </w:tcMar>
          </w:tcPr>
          <w:p w:rsidR="00000000" w:rsidDel="00000000" w:rsidP="00000000" w:rsidRDefault="00000000" w:rsidRPr="00000000" w14:paraId="00000040">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Enrolling patients in tenants and parameterizing access </w:t>
            </w:r>
          </w:p>
        </w:tc>
      </w:tr>
      <w:tr>
        <w:trPr>
          <w:cantSplit w:val="0"/>
          <w:tblHeader w:val="0"/>
        </w:trPr>
        <w:tc>
          <w:tcPr>
            <w:tcMar>
              <w:top w:w="140.0" w:type="dxa"/>
              <w:left w:w="140.0" w:type="dxa"/>
              <w:bottom w:w="140.0" w:type="dxa"/>
              <w:right w:w="140.0" w:type="dxa"/>
            </w:tcMar>
          </w:tcPr>
          <w:p w:rsidR="00000000" w:rsidDel="00000000" w:rsidP="00000000" w:rsidRDefault="00000000" w:rsidRPr="00000000" w14:paraId="00000041">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Day 5: Pre-filling Intake Questionnaires for existing patients </w:t>
            </w:r>
          </w:p>
        </w:tc>
        <w:tc>
          <w:tcPr>
            <w:tcMar>
              <w:top w:w="140.0" w:type="dxa"/>
              <w:left w:w="140.0" w:type="dxa"/>
              <w:bottom w:w="140.0" w:type="dxa"/>
              <w:right w:w="140.0" w:type="dxa"/>
            </w:tcMar>
          </w:tcPr>
          <w:p w:rsidR="00000000" w:rsidDel="00000000" w:rsidP="00000000" w:rsidRDefault="00000000" w:rsidRPr="00000000" w14:paraId="00000042">
            <w:pPr>
              <w:widowControl w:val="0"/>
              <w:spacing w:after="100" w:line="180" w:lineRule="auto"/>
              <w:rPr>
                <w:rFonts w:ascii="Cairo" w:cs="Cairo" w:eastAsia="Cairo" w:hAnsi="Cairo"/>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43">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Optional Topics: </w:t>
            </w:r>
          </w:p>
          <w:p w:rsidR="00000000" w:rsidDel="00000000" w:rsidP="00000000" w:rsidRDefault="00000000" w:rsidRPr="00000000" w14:paraId="00000044">
            <w:pPr>
              <w:widowControl w:val="0"/>
              <w:spacing w:after="100" w:line="180" w:lineRule="auto"/>
              <w:rPr>
                <w:rFonts w:ascii="Cairo" w:cs="Cairo" w:eastAsia="Cairo" w:hAnsi="Cairo"/>
              </w:rPr>
            </w:pPr>
            <w:hyperlink r:id="rId18">
              <w:r w:rsidDel="00000000" w:rsidR="00000000" w:rsidRPr="00000000">
                <w:rPr>
                  <w:rFonts w:ascii="Cairo" w:cs="Cairo" w:eastAsia="Cairo" w:hAnsi="Cairo"/>
                  <w:color w:val="1155cc"/>
                  <w:u w:val="single"/>
                  <w:rtl w:val="0"/>
                </w:rPr>
                <w:t xml:space="preserve">Appointment Booking</w:t>
              </w:r>
            </w:hyperlink>
            <w:r w:rsidDel="00000000" w:rsidR="00000000" w:rsidRPr="00000000">
              <w:rPr>
                <w:rFonts w:ascii="Cairo" w:cs="Cairo" w:eastAsia="Cairo" w:hAnsi="Cairo"/>
                <w:rtl w:val="0"/>
              </w:rPr>
              <w:t xml:space="preserve"> in Medplum</w:t>
            </w:r>
          </w:p>
          <w:p w:rsidR="00000000" w:rsidDel="00000000" w:rsidP="00000000" w:rsidRDefault="00000000" w:rsidRPr="00000000" w14:paraId="00000045">
            <w:pPr>
              <w:widowControl w:val="0"/>
              <w:spacing w:after="100" w:line="180" w:lineRule="auto"/>
              <w:rPr>
                <w:rFonts w:ascii="Cairo" w:cs="Cairo" w:eastAsia="Cairo" w:hAnsi="Cairo"/>
              </w:rPr>
            </w:pPr>
            <w:hyperlink r:id="rId19">
              <w:r w:rsidDel="00000000" w:rsidR="00000000" w:rsidRPr="00000000">
                <w:rPr>
                  <w:rFonts w:ascii="Cairo" w:cs="Cairo" w:eastAsia="Cairo" w:hAnsi="Cairo"/>
                  <w:color w:val="1155cc"/>
                  <w:u w:val="single"/>
                  <w:rtl w:val="0"/>
                </w:rPr>
                <w:t xml:space="preserve">Multiplayer Chart Editing</w:t>
              </w:r>
            </w:hyperlink>
            <w:r w:rsidDel="00000000" w:rsidR="00000000" w:rsidRPr="00000000">
              <w:rPr>
                <w:rFonts w:ascii="Cairo" w:cs="Cairo" w:eastAsia="Cairo" w:hAnsi="Cairo"/>
                <w:rtl w:val="0"/>
              </w:rPr>
              <w:t xml:space="preserve"> and </w:t>
            </w:r>
            <w:hyperlink r:id="rId20">
              <w:r w:rsidDel="00000000" w:rsidR="00000000" w:rsidRPr="00000000">
                <w:rPr>
                  <w:rFonts w:ascii="Cairo" w:cs="Cairo" w:eastAsia="Cairo" w:hAnsi="Cairo"/>
                  <w:color w:val="1155cc"/>
                  <w:u w:val="single"/>
                  <w:rtl w:val="0"/>
                </w:rPr>
                <w:t xml:space="preserve">Websocket Connections</w:t>
              </w:r>
            </w:hyperlink>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46">
            <w:pPr>
              <w:widowControl w:val="0"/>
              <w:spacing w:after="100" w:line="180" w:lineRule="auto"/>
              <w:rPr>
                <w:rFonts w:ascii="Cairo" w:cs="Cairo" w:eastAsia="Cairo" w:hAnsi="Cairo"/>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47">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Consult on pre-filling QuestionnaireResponses for existing patients in new verticals </w:t>
            </w:r>
          </w:p>
          <w:p w:rsidR="00000000" w:rsidDel="00000000" w:rsidP="00000000" w:rsidRDefault="00000000" w:rsidRPr="00000000" w14:paraId="00000048">
            <w:pPr>
              <w:widowControl w:val="0"/>
              <w:spacing w:after="100" w:line="180" w:lineRule="auto"/>
              <w:rPr>
                <w:rFonts w:ascii="Cairo" w:cs="Cairo" w:eastAsia="Cairo" w:hAnsi="Cairo"/>
              </w:rPr>
            </w:pPr>
            <w:r w:rsidDel="00000000" w:rsidR="00000000" w:rsidRPr="00000000">
              <w:rPr>
                <w:rFonts w:ascii="Cairo" w:cs="Cairo" w:eastAsia="Cairo" w:hAnsi="Cairo"/>
                <w:rtl w:val="0"/>
              </w:rPr>
              <w:t xml:space="preserve">Go over real-time intake validation infrastructure </w:t>
            </w:r>
          </w:p>
        </w:tc>
      </w:tr>
    </w:tbl>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2"/>
        <w:rPr/>
      </w:pPr>
      <w:bookmarkStart w:colFirst="0" w:colLast="0" w:name="_giv471rh3rv0" w:id="6"/>
      <w:bookmarkEnd w:id="6"/>
      <w:r w:rsidDel="00000000" w:rsidR="00000000" w:rsidRPr="00000000">
        <w:rPr>
          <w:rtl w:val="0"/>
        </w:rPr>
        <w:t xml:space="preserve">Open Questions</w:t>
      </w:r>
    </w:p>
    <w:p w:rsidR="00000000" w:rsidDel="00000000" w:rsidP="00000000" w:rsidRDefault="00000000" w:rsidRPr="00000000" w14:paraId="0000004C">
      <w:pPr>
        <w:pStyle w:val="Heading4"/>
        <w:rPr/>
      </w:pPr>
      <w:bookmarkStart w:colFirst="0" w:colLast="0" w:name="_x28lvldqzti" w:id="7"/>
      <w:bookmarkEnd w:id="7"/>
      <w:r w:rsidDel="00000000" w:rsidR="00000000" w:rsidRPr="00000000">
        <w:rPr>
          <w:rtl w:val="0"/>
        </w:rPr>
        <w:t xml:space="preserve">Intake </w:t>
      </w:r>
    </w:p>
    <w:p w:rsidR="00000000" w:rsidDel="00000000" w:rsidP="00000000" w:rsidRDefault="00000000" w:rsidRPr="00000000" w14:paraId="0000004D">
      <w:pPr>
        <w:numPr>
          <w:ilvl w:val="0"/>
          <w:numId w:val="4"/>
        </w:numPr>
        <w:ind w:left="720" w:hanging="360"/>
        <w:rPr>
          <w:u w:val="none"/>
        </w:rPr>
      </w:pPr>
      <w:r w:rsidDel="00000000" w:rsidR="00000000" w:rsidRPr="00000000">
        <w:rPr>
          <w:rtl w:val="0"/>
        </w:rPr>
        <w:t xml:space="preserve">Does disqualification validation (i.e. determining if the intake responses include disqualifying information) happen server-side or application-side currently? </w:t>
      </w:r>
    </w:p>
    <w:p w:rsidR="00000000" w:rsidDel="00000000" w:rsidP="00000000" w:rsidRDefault="00000000" w:rsidRPr="00000000" w14:paraId="0000004E">
      <w:pPr>
        <w:numPr>
          <w:ilvl w:val="0"/>
          <w:numId w:val="4"/>
        </w:numPr>
        <w:ind w:left="720" w:hanging="360"/>
        <w:rPr>
          <w:u w:val="none"/>
        </w:rPr>
      </w:pPr>
      <w:r w:rsidDel="00000000" w:rsidR="00000000" w:rsidRPr="00000000">
        <w:rPr>
          <w:rtl w:val="0"/>
        </w:rPr>
        <w:t xml:space="preserve">What powers the Intake UI currently? Is logic handled server-side or application-side? Some other framework? </w:t>
      </w:r>
    </w:p>
    <w:p w:rsidR="00000000" w:rsidDel="00000000" w:rsidP="00000000" w:rsidRDefault="00000000" w:rsidRPr="00000000" w14:paraId="0000004F">
      <w:pPr>
        <w:pStyle w:val="Heading4"/>
        <w:rPr/>
      </w:pPr>
      <w:bookmarkStart w:colFirst="0" w:colLast="0" w:name="_1430fwe8alm4" w:id="8"/>
      <w:bookmarkEnd w:id="8"/>
      <w:r w:rsidDel="00000000" w:rsidR="00000000" w:rsidRPr="00000000">
        <w:rPr>
          <w:rtl w:val="0"/>
        </w:rPr>
        <w:t xml:space="preserve">Tenanting</w:t>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What kinds of roles will need access to Medplum data? Assuming: </w:t>
      </w:r>
    </w:p>
    <w:p w:rsidR="00000000" w:rsidDel="00000000" w:rsidP="00000000" w:rsidRDefault="00000000" w:rsidRPr="00000000" w14:paraId="00000051">
      <w:pPr>
        <w:numPr>
          <w:ilvl w:val="1"/>
          <w:numId w:val="2"/>
        </w:numPr>
        <w:ind w:left="1440" w:hanging="360"/>
        <w:rPr>
          <w:u w:val="none"/>
        </w:rPr>
      </w:pPr>
      <w:r w:rsidDel="00000000" w:rsidR="00000000" w:rsidRPr="00000000">
        <w:rPr>
          <w:rtl w:val="0"/>
        </w:rPr>
        <w:t xml:space="preserve">Practitioners </w:t>
      </w:r>
    </w:p>
    <w:p w:rsidR="00000000" w:rsidDel="00000000" w:rsidP="00000000" w:rsidRDefault="00000000" w:rsidRPr="00000000" w14:paraId="00000052">
      <w:pPr>
        <w:numPr>
          <w:ilvl w:val="1"/>
          <w:numId w:val="2"/>
        </w:numPr>
        <w:ind w:left="1440" w:hanging="360"/>
        <w:rPr>
          <w:u w:val="none"/>
        </w:rPr>
      </w:pPr>
      <w:r w:rsidDel="00000000" w:rsidR="00000000" w:rsidRPr="00000000">
        <w:rPr>
          <w:rtl w:val="0"/>
        </w:rPr>
        <w:t xml:space="preserve">Clients </w:t>
      </w:r>
    </w:p>
    <w:p w:rsidR="00000000" w:rsidDel="00000000" w:rsidP="00000000" w:rsidRDefault="00000000" w:rsidRPr="00000000" w14:paraId="00000053">
      <w:pPr>
        <w:numPr>
          <w:ilvl w:val="1"/>
          <w:numId w:val="2"/>
        </w:numPr>
        <w:ind w:left="1440" w:hanging="360"/>
        <w:rPr>
          <w:u w:val="none"/>
        </w:rPr>
      </w:pPr>
      <w:r w:rsidDel="00000000" w:rsidR="00000000" w:rsidRPr="00000000">
        <w:rPr>
          <w:rtl w:val="0"/>
        </w:rPr>
        <w:t xml:space="preserve">Patients (?) </w:t>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For a given client, what patient data should that client have access to? All PII, no PHI? Some PHI? </w:t>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For a given practitioner, which patients’ data should that practitioner have access to? Patients that practitioner is seeing? All patients for clients that the practitioner is assigned to? Some other cut of patients? </w:t>
      </w:r>
    </w:p>
    <w:sectPr>
      <w:type w:val="nextPage"/>
      <w:pgSz w:h="12240" w:w="15840"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ir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medplum.com/docs/react/use-subscription" TargetMode="External"/><Relationship Id="rId11" Type="http://schemas.openxmlformats.org/officeDocument/2006/relationships/hyperlink" Target="https://www.medplum.com/docs/bots/bot-basics" TargetMode="External"/><Relationship Id="rId10" Type="http://schemas.openxmlformats.org/officeDocument/2006/relationships/hyperlink" Target="https://www.medplum.com/docs/questionnaires/structured-data-capture" TargetMode="External"/><Relationship Id="rId13" Type="http://schemas.openxmlformats.org/officeDocument/2006/relationships/hyperlink" Target="https://www.medplum.com/docs/careplans/tasks" TargetMode="External"/><Relationship Id="rId12" Type="http://schemas.openxmlformats.org/officeDocument/2006/relationships/hyperlink" Target="https://www.medplum.com/docs/char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edplum.com/docs/terminology/medplum-terminology-services" TargetMode="External"/><Relationship Id="rId15" Type="http://schemas.openxmlformats.org/officeDocument/2006/relationships/hyperlink" Target="https://www.medplum.com/blog/multi-tenant-mso" TargetMode="External"/><Relationship Id="rId14" Type="http://schemas.openxmlformats.org/officeDocument/2006/relationships/hyperlink" Target="https://www.medplum.com/docs/access/multi-tenant-access-policy" TargetMode="External"/><Relationship Id="rId17" Type="http://schemas.openxmlformats.org/officeDocument/2006/relationships/hyperlink" Target="https://www.medplum.com/docs/access/multi-tenant-access-policy#create-accesspolicies-with-parameterized-variables" TargetMode="External"/><Relationship Id="rId16" Type="http://schemas.openxmlformats.org/officeDocument/2006/relationships/hyperlink" Target="https://www.medplum.com/docs/access/multi-tenant-access-policy#step-2-assigning-data-to-tenants" TargetMode="External"/><Relationship Id="rId5" Type="http://schemas.openxmlformats.org/officeDocument/2006/relationships/styles" Target="styles.xml"/><Relationship Id="rId19" Type="http://schemas.openxmlformats.org/officeDocument/2006/relationships/hyperlink" Target="https://www.medplum.com/blog/plumcon-2025-materials#seen-health" TargetMode="External"/><Relationship Id="rId6" Type="http://schemas.openxmlformats.org/officeDocument/2006/relationships/hyperlink" Target="https://www.medplum.com/docs/fhir-basics" TargetMode="External"/><Relationship Id="rId18" Type="http://schemas.openxmlformats.org/officeDocument/2006/relationships/hyperlink" Target="https://www.medplum.com/docs/scheduling#key-resources" TargetMode="External"/><Relationship Id="rId7" Type="http://schemas.openxmlformats.org/officeDocument/2006/relationships/hyperlink" Target="https://www.medplum.com/docs/search/basic-search" TargetMode="External"/><Relationship Id="rId8" Type="http://schemas.openxmlformats.org/officeDocument/2006/relationships/hyperlink" Target="https://www.medplum.com/docs/questionnair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Cairo-regular.ttf"/><Relationship Id="rId6" Type="http://schemas.openxmlformats.org/officeDocument/2006/relationships/font" Target="fonts/Cair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