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RESEARCH REPORT</w:t>
      </w:r>
    </w:p>
    <w:p>
      <w:pPr>
        <w:jc w:val="center"/>
      </w:pPr>
      <w:r>
        <w:rPr>
          <w:b/>
          <w:color w:val="243B53"/>
          <w:sz w:val="40"/>
        </w:rPr>
        <w:t>CRITICAL MINERALS SUPPLY CHAINS: A WORKED EXAMPLE FOR THE PIPELINE</w:t>
      </w:r>
    </w:p>
    <w:p>
      <w:pPr>
        <w:jc w:val="center"/>
      </w:pPr>
      <w:r>
        <w:rPr>
          <w:b/>
        </w:rPr>
        <w:t xml:space="preserve">Prepared by: </w:t>
      </w:r>
      <w:r>
        <w:t>Paperforge Research</w:t>
      </w:r>
    </w:p>
    <w:p>
      <w:pPr>
        <w:jc w:val="center"/>
      </w:pPr>
      <w:r>
        <w:rPr>
          <w:b/>
        </w:rPr>
        <w:t xml:space="preserve">Audience: </w:t>
      </w:r>
      <w:r>
        <w:t>Pipeline test fixture</w:t>
      </w:r>
    </w:p>
    <w:p>
      <w:pPr>
        <w:jc w:val="center"/>
      </w:pPr>
      <w:r>
        <w:rPr>
          <w:b/>
        </w:rPr>
        <w:t xml:space="preserve">Completed: </w:t>
      </w:r>
      <w:r>
        <w:t>August 2026</w:t>
      </w:r>
    </w:p>
    <w:p>
      <w:pPr>
        <w:jc w:val="center"/>
      </w:pPr>
      <w:r>
        <w:rPr>
          <w:i/>
        </w:rPr>
        <w:t>Paperforge</w:t>
      </w:r>
    </w:p>
    <w:p>
      <w:r>
        <w:br w:type="page"/>
      </w:r>
    </w:p>
    <w:p>
      <w:pPr>
        <w:pStyle w:val="Heading2"/>
      </w:pPr>
      <w:r>
        <w:rPr>
          <w:color w:val="243B53"/>
        </w:rPr>
        <w:t>CONTENTS</w:t>
      </w:r>
    </w:p>
    <w:p>
      <w:pPr>
        <w:pStyle w:val="ListNumber"/>
      </w:pPr>
      <w:r>
        <w:rPr>
          <w:b/>
          <w:i w:val="0"/>
        </w:rPr>
        <w:t>EXECUTIVE SUMMARY</w:t>
      </w:r>
    </w:p>
    <w:p>
      <w:pPr>
        <w:pStyle w:val="ListNumber"/>
      </w:pPr>
      <w:r>
        <w:rPr>
          <w:b/>
          <w:i w:val="0"/>
        </w:rPr>
        <w:t>PART I: CONTEXT</w:t>
      </w:r>
    </w:p>
    <w:p>
      <w:pPr>
        <w:pStyle w:val="ListBullet"/>
        <w:ind w:left="907"/>
      </w:pPr>
      <w:r>
        <w:t>1.1. Global demand</w:t>
      </w:r>
    </w:p>
    <w:p>
      <w:pPr>
        <w:pStyle w:val="ListBullet"/>
        <w:ind w:left="907"/>
      </w:pPr>
      <w:r>
        <w:t>1.2. Processing bottlenecks</w:t>
      </w:r>
    </w:p>
    <w:p>
      <w:pPr>
        <w:pStyle w:val="ListNumber"/>
      </w:pPr>
      <w:r>
        <w:rPr>
          <w:b/>
          <w:i w:val="0"/>
        </w:rPr>
        <w:t>PART II: FINDINGS</w:t>
      </w:r>
    </w:p>
    <w:p>
      <w:pPr>
        <w:pStyle w:val="ListBullet"/>
        <w:ind w:left="907"/>
      </w:pPr>
      <w:r>
        <w:t>2.1. Concentration risk</w:t>
      </w:r>
    </w:p>
    <w:p>
      <w:pPr>
        <w:pStyle w:val="ListNumber"/>
      </w:pPr>
      <w:r>
        <w:rPr>
          <w:b/>
          <w:i w:val="0"/>
        </w:rPr>
        <w:t>CONCLUSION</w:t>
      </w:r>
    </w:p>
    <w:p>
      <w:pPr>
        <w:pStyle w:val="ListNumber"/>
      </w:pPr>
      <w:r>
        <w:rPr>
          <w:b/>
          <w:i w:val="0"/>
        </w:rPr>
        <w:t>ANNEX: SOURCES AND METHOD</w:t>
      </w:r>
    </w:p>
    <w:p>
      <w:pPr>
        <w:pStyle w:val="ListBullet"/>
        <w:ind w:left="907"/>
      </w:pPr>
      <w:r>
        <w:t>Section 1. Source appraisal</w:t>
      </w:r>
    </w:p>
    <w:p>
      <w:pPr>
        <w:pStyle w:val="ListBullet"/>
        <w:ind w:left="907"/>
      </w:pPr>
      <w:r>
        <w:t>Section 2. Baselines</w:t>
      </w:r>
    </w:p>
    <w:p>
      <w:pPr>
        <w:pStyle w:val="Heading2"/>
      </w:pPr>
      <w:r>
        <w:rPr>
          <w:color w:val="243B53"/>
        </w:rPr>
        <w:t>1. EXECUTIVE SUMMARY</w:t>
      </w:r>
    </w:p>
    <w:p>
      <w:r>
        <w:t xml:space="preserve">Refining capacity, not extraction, is the binding constraint. Baseline figures and their provenance are set out in </w:t>
      </w:r>
      <w:r>
        <w:rPr>
          <w:b w:val="0"/>
          <w:i/>
        </w:rPr>
        <w:t>Annex Section 2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585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58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</w:t>
      </w:r>
    </w:p>
    <w:p>
      <w:pPr>
        <w:pStyle w:val="Heading2"/>
      </w:pPr>
      <w:r>
        <w:rPr>
          <w:color w:val="243B53"/>
        </w:rPr>
        <w:t>PART I: CONTEXT</w:t>
      </w:r>
    </w:p>
    <w:p>
      <w:pPr>
        <w:pStyle w:val="Heading3"/>
      </w:pPr>
      <w:r>
        <w:t>1.1. Global demand</w:t>
      </w:r>
    </w:p>
    <w:p>
      <w:r>
        <w:t>Demand grows with electrification. The table below is deliberately wide enough to exercise the horizontal-scroll affordance on a phone.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Mineral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Leading producer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Refining share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Substitution risk</w:t>
            </w:r>
          </w:p>
        </w:tc>
      </w:tr>
      <w:tr>
        <w:tc>
          <w:tcPr>
            <w:tcW w:type="dxa" w:w="1728"/>
          </w:tcPr>
          <w:p>
            <w:r>
              <w:t>Lithium</w:t>
            </w:r>
          </w:p>
        </w:tc>
        <w:tc>
          <w:tcPr>
            <w:tcW w:type="dxa" w:w="1728"/>
          </w:tcPr>
          <w:p>
            <w:r>
              <w:t>Batteries</w:t>
            </w:r>
          </w:p>
        </w:tc>
        <w:tc>
          <w:tcPr>
            <w:tcW w:type="dxa" w:w="1728"/>
          </w:tcPr>
          <w:p>
            <w:r>
              <w:t>Australia</w:t>
            </w:r>
          </w:p>
        </w:tc>
        <w:tc>
          <w:tcPr>
            <w:tcW w:type="dxa" w:w="1728"/>
          </w:tcPr>
          <w:p>
            <w:r>
              <w:t>Concentrated</w:t>
            </w:r>
          </w:p>
        </w:tc>
        <w:tc>
          <w:tcPr>
            <w:tcW w:type="dxa" w:w="1728"/>
          </w:tcPr>
          <w:p>
            <w:r>
              <w:t>Low in the near term</w:t>
            </w:r>
          </w:p>
        </w:tc>
      </w:tr>
      <w:tr>
        <w:tc>
          <w:tcPr>
            <w:tcW w:type="dxa" w:w="1728"/>
          </w:tcPr>
          <w:p>
            <w:r>
              <w:t>Cobalt</w:t>
            </w:r>
          </w:p>
        </w:tc>
        <w:tc>
          <w:tcPr>
            <w:tcW w:type="dxa" w:w="1728"/>
          </w:tcPr>
          <w:p>
            <w:r>
              <w:t>Batteries</w:t>
            </w:r>
          </w:p>
        </w:tc>
        <w:tc>
          <w:tcPr>
            <w:tcW w:type="dxa" w:w="1728"/>
          </w:tcPr>
          <w:p>
            <w:r>
              <w:t>DRC</w:t>
            </w:r>
          </w:p>
        </w:tc>
        <w:tc>
          <w:tcPr>
            <w:tcW w:type="dxa" w:w="1728"/>
          </w:tcPr>
          <w:p>
            <w:r>
              <w:t>Concentrated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Rare earths</w:t>
            </w:r>
          </w:p>
        </w:tc>
        <w:tc>
          <w:tcPr>
            <w:tcW w:type="dxa" w:w="1728"/>
          </w:tcPr>
          <w:p>
            <w:r>
              <w:t>Magnets</w:t>
            </w:r>
          </w:p>
        </w:tc>
        <w:tc>
          <w:tcPr>
            <w:tcW w:type="dxa" w:w="1728"/>
          </w:tcPr>
          <w:p>
            <w:r>
              <w:t>China</w:t>
            </w:r>
          </w:p>
        </w:tc>
        <w:tc>
          <w:tcPr>
            <w:tcW w:type="dxa" w:w="1728"/>
          </w:tcPr>
          <w:p>
            <w:r>
              <w:t>Highly concentrated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/>
    <w:p>
      <w:pPr>
        <w:pStyle w:val="Heading3"/>
      </w:pPr>
      <w:r>
        <w:t>1.2. Processing bottlenecks</w:t>
      </w:r>
    </w:p>
    <w:p>
      <w:r>
        <w:t xml:space="preserve">Midstream refining is the choke point; see </w:t>
      </w:r>
      <w:r>
        <w:rPr>
          <w:b w:val="0"/>
          <w:i/>
        </w:rPr>
        <w:t>Annex Section 1</w:t>
      </w:r>
      <w:r>
        <w:t xml:space="preserve"> for how each claim was appraised.</w:t>
      </w:r>
    </w:p>
    <w:p>
      <w:pPr>
        <w:pStyle w:val="Heading2"/>
      </w:pPr>
      <w:r>
        <w:rPr>
          <w:color w:val="243B53"/>
        </w:rPr>
        <w:t>PART II: FINDINGS</w:t>
      </w:r>
    </w:p>
    <w:p>
      <w:pPr>
        <w:pStyle w:val="Heading3"/>
      </w:pPr>
      <w:r>
        <w:t>2.1. Concentration risk</w:t>
      </w:r>
    </w:p>
    <w:p>
      <w:r>
        <w:t>A single jurisdiction refines the majority of several critical inputs.</w:t>
      </w:r>
    </w:p>
    <w:p>
      <w:pPr>
        <w:pStyle w:val="Heading2"/>
      </w:pPr>
      <w:r>
        <w:rPr>
          <w:color w:val="243B53"/>
        </w:rPr>
        <w:t>PART III: CONCLUSION</w:t>
      </w:r>
    </w:p>
    <w:p>
      <w:r>
        <w:t>Policy attention should follow the midstream rather than the mine./.</w:t>
      </w:r>
    </w:p>
    <w:p>
      <w:r>
        <w:br w:type="page"/>
      </w:r>
    </w:p>
    <w:p>
      <w:pPr>
        <w:pStyle w:val="Heading2"/>
      </w:pPr>
      <w:r>
        <w:rPr>
          <w:color w:val="243B53"/>
        </w:rPr>
        <w:t>ANNEX: SOURCES AND METHOD</w:t>
      </w:r>
    </w:p>
    <w:p>
      <w:pPr>
        <w:pStyle w:val="Heading2"/>
      </w:pPr>
      <w:r>
        <w:rPr>
          <w:color w:val="243B53"/>
        </w:rPr>
        <w:t>1. SOURCE APPRAISAL</w:t>
      </w:r>
    </w:p>
    <w:p>
      <w:r>
        <w:t>Each figure is traced to a named published source and dated.</w:t>
      </w:r>
    </w:p>
    <w:p>
      <w:pPr>
        <w:pStyle w:val="Heading2"/>
      </w:pPr>
      <w:r>
        <w:rPr>
          <w:color w:val="243B53"/>
        </w:rPr>
        <w:t>2.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Refining concentration</w:t>
            </w:r>
          </w:p>
        </w:tc>
        <w:tc>
          <w:tcPr>
            <w:tcW w:type="dxa" w:w="2880"/>
          </w:tcPr>
          <w:p>
            <w:r>
              <w:t>60–90%</w:t>
            </w:r>
          </w:p>
        </w:tc>
        <w:tc>
          <w:tcPr>
            <w:tcW w:type="dxa" w:w="2880"/>
          </w:tcPr>
          <w:p>
            <w:r>
              <w:t>Industry statistics</w:t>
            </w:r>
          </w:p>
        </w:tc>
      </w:tr>
      <w:tr>
        <w:tc>
          <w:tcPr>
            <w:tcW w:type="dxa" w:w="2880"/>
          </w:tcPr>
          <w:p>
            <w:r>
              <w:t>Demand growth</w:t>
            </w:r>
          </w:p>
        </w:tc>
        <w:tc>
          <w:tcPr>
            <w:tcW w:type="dxa" w:w="2880"/>
          </w:tcPr>
          <w:p>
            <w:r>
              <w:t>8–12%/yr</w:t>
            </w:r>
          </w:p>
        </w:tc>
        <w:tc>
          <w:tcPr>
            <w:tcW w:type="dxa" w:w="2880"/>
          </w:tcPr>
          <w:p>
            <w:r>
              <w:t>Sector outlooks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