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E50914"/>
          <w:sz w:val="72"/>
          <w:szCs w:val="72"/>
        </w:rPr>
        <w:t xml:space="preserve">NETFLIX</w:t>
      </w:r>
    </w:p>
    <w:p>
      <w:pPr>
        <w:spacing w:after="100"/>
        <w:jc w:val="center"/>
      </w:pPr>
      <w:r>
        <w:rPr>
          <w:b/>
          <w:bCs/>
          <w:color w:val="221F1F"/>
          <w:sz w:val="40"/>
          <w:szCs w:val="40"/>
        </w:rPr>
        <w:t xml:space="preserve">MOVIES &amp; TV SHOWS</w:t>
      </w:r>
    </w:p>
    <w:p>
      <w:pPr>
        <w:spacing w:after="1000"/>
        <w:jc w:val="center"/>
      </w:pPr>
      <w:r>
        <w:rPr>
          <w:color w:val="564D4D"/>
          <w:sz w:val="30"/>
          <w:szCs w:val="30"/>
        </w:rPr>
        <w:t xml:space="preserve">Exploratory Data Analysis — Project Report</w:t>
      </w:r>
    </w:p>
    <w:p>
      <w:pPr>
        <w:pBdr>
          <w:top w:val="single" w:color="E50914" w:sz="6"/>
        </w:pBdr>
        <w:spacing w:after="1000"/>
      </w:pPr>
    </w:p>
    <w:p>
      <w:pPr>
        <w:spacing w:after="100"/>
        <w:jc w:val="center"/>
      </w:pPr>
      <w:r>
        <w:rPr>
          <w:sz w:val="24"/>
          <w:szCs w:val="24"/>
        </w:rPr>
        <w:t xml:space="preserve">Dataset: Netflix Titles (netflix_titles.csv)</w:t>
      </w:r>
    </w:p>
    <w:p>
      <w:pPr>
        <w:spacing w:after="100"/>
        <w:jc w:val="center"/>
      </w:pPr>
      <w:r>
        <w:rPr>
          <w:sz w:val="24"/>
          <w:szCs w:val="24"/>
        </w:rPr>
        <w:t xml:space="preserve">8,807 titles · 12 attributes</w:t>
      </w:r>
    </w:p>
    <w:p>
      <w:pPr>
        <w:jc w:val="center"/>
      </w:pPr>
      <w:r>
        <w:rPr>
          <w:color w:val="564D4D"/>
          <w:sz w:val="24"/>
          <w:szCs w:val="24"/>
        </w:rPr>
        <w:t xml:space="preserve">Prepared: September 2026</w:t>
      </w:r>
    </w:p>
    <w:p>
      <w:pPr>
        <w:sectPr>
          <w:pgSz w:w="12240" w:h="15840" w:orient="portrait"/>
          <w:pgMar w:top="1440" w:right="1440" w:bottom="1440" w:left="1440" w:header="708" w:footer="708" w:gutter="0"/>
          <w:pgNumType/>
          <w:docGrid w:linePitch="360"/>
        </w:sectPr>
      </w:pPr>
    </w:p>
    <w:p>
      <w:pPr>
        <w:pStyle w:val="Heading1"/>
        <w:spacing w:after="200" w:before="400"/>
      </w:pPr>
      <w:r>
        <w:t xml:space="preserve">1. Introduction</w:t>
      </w:r>
    </w:p>
    <w:p>
      <w:pPr>
        <w:spacing w:after="160"/>
        <w:jc w:val="left"/>
      </w:pPr>
      <w:r>
        <w:t xml:space="preserve">Netflix is one of the world's largest streaming platforms, offering thousands of movies and TV shows across genres, languages, and countries. This project performs an exploratory data analysis (EDA) on the public Netflix Titles dataset to uncover patterns in content type, genre, country of origin, ratings, and how the catalogue has grown over time.</w:t>
      </w:r>
    </w:p>
    <w:p>
      <w:pPr>
        <w:spacing w:after="160"/>
        <w:jc w:val="left"/>
      </w:pPr>
      <w:r>
        <w:t xml:space="preserve">The objective is to understand the composition of Netflix's content library and surface insights that could inform content strategy, such as which genres and regions are most represented, and how content acquisition has trended year over year.</w:t>
      </w:r>
    </w:p>
    <w:p>
      <w:pPr>
        <w:pStyle w:val="Heading1"/>
        <w:spacing w:after="200" w:before="400"/>
      </w:pPr>
      <w:r>
        <w:t xml:space="preserve">2. Dataset Overview</w:t>
      </w:r>
    </w:p>
    <w:p>
      <w:pPr>
        <w:spacing w:after="160"/>
        <w:jc w:val="left"/>
      </w:pPr>
      <w:r>
        <w:t xml:space="preserve">The dataset contains the following fields: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E50914" w:val="clear"/>
            <w:tcMar>
              <w:top w:type="dxa" w:w="80"/>
              <w:left w:type="dxa" w:w="100"/>
              <w:bottom w:type="dxa" w:w="80"/>
              <w:right w:type="dxa" w:w="100"/>
            </w:tcMar>
          </w:tcPr>
          <w:p>
            <w:r>
              <w:rPr>
                <w:b/>
                <w:bCs/>
                <w:color w:val="FFFFFF"/>
                <w:sz w:val="20"/>
                <w:szCs w:val="20"/>
              </w:rPr>
              <w:t xml:space="preserve">Column</w:t>
            </w:r>
          </w:p>
        </w:tc>
        <w:tc>
          <w:tcPr>
            <w:tcW w:type="dxa" w:w="7100"/>
            <w:shd w:fill="E50914"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show_id</w:t>
            </w:r>
          </w:p>
        </w:tc>
        <w:tc>
          <w:tcPr>
            <w:tcW w:type="dxa" w:w="7100"/>
            <w:tcMar>
              <w:top w:type="dxa" w:w="80"/>
              <w:left w:type="dxa" w:w="100"/>
              <w:bottom w:type="dxa" w:w="80"/>
              <w:right w:type="dxa" w:w="100"/>
            </w:tcMar>
          </w:tcPr>
          <w:p>
            <w:r>
              <w:rPr>
                <w:b w:val="false"/>
                <w:bCs w:val="false"/>
                <w:color w:val="000000"/>
                <w:sz w:val="20"/>
                <w:szCs w:val="20"/>
              </w:rPr>
              <w:t xml:space="preserve">Unique identifier for each title</w:t>
            </w:r>
          </w:p>
        </w:tc>
      </w:tr>
      <w:tr>
        <w:tc>
          <w:tcPr>
            <w:tcW w:type="dxa" w:w="2400"/>
            <w:tcMar>
              <w:top w:type="dxa" w:w="80"/>
              <w:left w:type="dxa" w:w="100"/>
              <w:bottom w:type="dxa" w:w="80"/>
              <w:right w:type="dxa" w:w="100"/>
            </w:tcMar>
          </w:tcPr>
          <w:p>
            <w:r>
              <w:rPr>
                <w:b w:val="false"/>
                <w:bCs w:val="false"/>
                <w:color w:val="000000"/>
                <w:sz w:val="20"/>
                <w:szCs w:val="20"/>
              </w:rPr>
              <w:t xml:space="preserve">type</w:t>
            </w:r>
          </w:p>
        </w:tc>
        <w:tc>
          <w:tcPr>
            <w:tcW w:type="dxa" w:w="7100"/>
            <w:tcMar>
              <w:top w:type="dxa" w:w="80"/>
              <w:left w:type="dxa" w:w="100"/>
              <w:bottom w:type="dxa" w:w="80"/>
              <w:right w:type="dxa" w:w="100"/>
            </w:tcMar>
          </w:tcPr>
          <w:p>
            <w:r>
              <w:rPr>
                <w:b w:val="false"/>
                <w:bCs w:val="false"/>
                <w:color w:val="000000"/>
                <w:sz w:val="20"/>
                <w:szCs w:val="20"/>
              </w:rPr>
              <w:t xml:space="preserve">Movie or TV Show</w:t>
            </w:r>
          </w:p>
        </w:tc>
      </w:tr>
      <w:tr>
        <w:tc>
          <w:tcPr>
            <w:tcW w:type="dxa" w:w="2400"/>
            <w:tcMar>
              <w:top w:type="dxa" w:w="80"/>
              <w:left w:type="dxa" w:w="100"/>
              <w:bottom w:type="dxa" w:w="80"/>
              <w:right w:type="dxa" w:w="100"/>
            </w:tcMar>
          </w:tcPr>
          <w:p>
            <w:r>
              <w:rPr>
                <w:b w:val="false"/>
                <w:bCs w:val="false"/>
                <w:color w:val="000000"/>
                <w:sz w:val="20"/>
                <w:szCs w:val="20"/>
              </w:rPr>
              <w:t xml:space="preserve">title</w:t>
            </w:r>
          </w:p>
        </w:tc>
        <w:tc>
          <w:tcPr>
            <w:tcW w:type="dxa" w:w="7100"/>
            <w:tcMar>
              <w:top w:type="dxa" w:w="80"/>
              <w:left w:type="dxa" w:w="100"/>
              <w:bottom w:type="dxa" w:w="80"/>
              <w:right w:type="dxa" w:w="100"/>
            </w:tcMar>
          </w:tcPr>
          <w:p>
            <w:r>
              <w:rPr>
                <w:b w:val="false"/>
                <w:bCs w:val="false"/>
                <w:color w:val="000000"/>
                <w:sz w:val="20"/>
                <w:szCs w:val="20"/>
              </w:rPr>
              <w:t xml:space="preserve">Name of the title</w:t>
            </w:r>
          </w:p>
        </w:tc>
      </w:tr>
      <w:tr>
        <w:tc>
          <w:tcPr>
            <w:tcW w:type="dxa" w:w="2400"/>
            <w:tcMar>
              <w:top w:type="dxa" w:w="80"/>
              <w:left w:type="dxa" w:w="100"/>
              <w:bottom w:type="dxa" w:w="80"/>
              <w:right w:type="dxa" w:w="100"/>
            </w:tcMar>
          </w:tcPr>
          <w:p>
            <w:r>
              <w:rPr>
                <w:b w:val="false"/>
                <w:bCs w:val="false"/>
                <w:color w:val="000000"/>
                <w:sz w:val="20"/>
                <w:szCs w:val="20"/>
              </w:rPr>
              <w:t xml:space="preserve">director</w:t>
            </w:r>
          </w:p>
        </w:tc>
        <w:tc>
          <w:tcPr>
            <w:tcW w:type="dxa" w:w="7100"/>
            <w:tcMar>
              <w:top w:type="dxa" w:w="80"/>
              <w:left w:type="dxa" w:w="100"/>
              <w:bottom w:type="dxa" w:w="80"/>
              <w:right w:type="dxa" w:w="100"/>
            </w:tcMar>
          </w:tcPr>
          <w:p>
            <w:r>
              <w:rPr>
                <w:b w:val="false"/>
                <w:bCs w:val="false"/>
                <w:color w:val="000000"/>
                <w:sz w:val="20"/>
                <w:szCs w:val="20"/>
              </w:rPr>
              <w:t xml:space="preserve">Director(s) of the title</w:t>
            </w:r>
          </w:p>
        </w:tc>
      </w:tr>
      <w:tr>
        <w:tc>
          <w:tcPr>
            <w:tcW w:type="dxa" w:w="2400"/>
            <w:tcMar>
              <w:top w:type="dxa" w:w="80"/>
              <w:left w:type="dxa" w:w="100"/>
              <w:bottom w:type="dxa" w:w="80"/>
              <w:right w:type="dxa" w:w="100"/>
            </w:tcMar>
          </w:tcPr>
          <w:p>
            <w:r>
              <w:rPr>
                <w:b w:val="false"/>
                <w:bCs w:val="false"/>
                <w:color w:val="000000"/>
                <w:sz w:val="20"/>
                <w:szCs w:val="20"/>
              </w:rPr>
              <w:t xml:space="preserve">cast</w:t>
            </w:r>
          </w:p>
        </w:tc>
        <w:tc>
          <w:tcPr>
            <w:tcW w:type="dxa" w:w="7100"/>
            <w:tcMar>
              <w:top w:type="dxa" w:w="80"/>
              <w:left w:type="dxa" w:w="100"/>
              <w:bottom w:type="dxa" w:w="80"/>
              <w:right w:type="dxa" w:w="100"/>
            </w:tcMar>
          </w:tcPr>
          <w:p>
            <w:r>
              <w:rPr>
                <w:b w:val="false"/>
                <w:bCs w:val="false"/>
                <w:color w:val="000000"/>
                <w:sz w:val="20"/>
                <w:szCs w:val="20"/>
              </w:rPr>
              <w:t xml:space="preserve">Main cast members</w:t>
            </w:r>
          </w:p>
        </w:tc>
      </w:tr>
      <w:tr>
        <w:tc>
          <w:tcPr>
            <w:tcW w:type="dxa" w:w="2400"/>
            <w:tcMar>
              <w:top w:type="dxa" w:w="80"/>
              <w:left w:type="dxa" w:w="100"/>
              <w:bottom w:type="dxa" w:w="80"/>
              <w:right w:type="dxa" w:w="100"/>
            </w:tcMar>
          </w:tcPr>
          <w:p>
            <w:r>
              <w:rPr>
                <w:b w:val="false"/>
                <w:bCs w:val="false"/>
                <w:color w:val="000000"/>
                <w:sz w:val="20"/>
                <w:szCs w:val="20"/>
              </w:rPr>
              <w:t xml:space="preserve">country</w:t>
            </w:r>
          </w:p>
        </w:tc>
        <w:tc>
          <w:tcPr>
            <w:tcW w:type="dxa" w:w="7100"/>
            <w:tcMar>
              <w:top w:type="dxa" w:w="80"/>
              <w:left w:type="dxa" w:w="100"/>
              <w:bottom w:type="dxa" w:w="80"/>
              <w:right w:type="dxa" w:w="100"/>
            </w:tcMar>
          </w:tcPr>
          <w:p>
            <w:r>
              <w:rPr>
                <w:b w:val="false"/>
                <w:bCs w:val="false"/>
                <w:color w:val="000000"/>
                <w:sz w:val="20"/>
                <w:szCs w:val="20"/>
              </w:rPr>
              <w:t xml:space="preserve">Country/countries of production</w:t>
            </w:r>
          </w:p>
        </w:tc>
      </w:tr>
      <w:tr>
        <w:tc>
          <w:tcPr>
            <w:tcW w:type="dxa" w:w="2400"/>
            <w:tcMar>
              <w:top w:type="dxa" w:w="80"/>
              <w:left w:type="dxa" w:w="100"/>
              <w:bottom w:type="dxa" w:w="80"/>
              <w:right w:type="dxa" w:w="100"/>
            </w:tcMar>
          </w:tcPr>
          <w:p>
            <w:r>
              <w:rPr>
                <w:b w:val="false"/>
                <w:bCs w:val="false"/>
                <w:color w:val="000000"/>
                <w:sz w:val="20"/>
                <w:szCs w:val="20"/>
              </w:rPr>
              <w:t xml:space="preserve">date_added</w:t>
            </w:r>
          </w:p>
        </w:tc>
        <w:tc>
          <w:tcPr>
            <w:tcW w:type="dxa" w:w="7100"/>
            <w:tcMar>
              <w:top w:type="dxa" w:w="80"/>
              <w:left w:type="dxa" w:w="100"/>
              <w:bottom w:type="dxa" w:w="80"/>
              <w:right w:type="dxa" w:w="100"/>
            </w:tcMar>
          </w:tcPr>
          <w:p>
            <w:r>
              <w:rPr>
                <w:b w:val="false"/>
                <w:bCs w:val="false"/>
                <w:color w:val="000000"/>
                <w:sz w:val="20"/>
                <w:szCs w:val="20"/>
              </w:rPr>
              <w:t xml:space="preserve">Date the title was added to Netflix</w:t>
            </w:r>
          </w:p>
        </w:tc>
      </w:tr>
      <w:tr>
        <w:tc>
          <w:tcPr>
            <w:tcW w:type="dxa" w:w="2400"/>
            <w:tcMar>
              <w:top w:type="dxa" w:w="80"/>
              <w:left w:type="dxa" w:w="100"/>
              <w:bottom w:type="dxa" w:w="80"/>
              <w:right w:type="dxa" w:w="100"/>
            </w:tcMar>
          </w:tcPr>
          <w:p>
            <w:r>
              <w:rPr>
                <w:b w:val="false"/>
                <w:bCs w:val="false"/>
                <w:color w:val="000000"/>
                <w:sz w:val="20"/>
                <w:szCs w:val="20"/>
              </w:rPr>
              <w:t xml:space="preserve">release_year</w:t>
            </w:r>
          </w:p>
        </w:tc>
        <w:tc>
          <w:tcPr>
            <w:tcW w:type="dxa" w:w="7100"/>
            <w:tcMar>
              <w:top w:type="dxa" w:w="80"/>
              <w:left w:type="dxa" w:w="100"/>
              <w:bottom w:type="dxa" w:w="80"/>
              <w:right w:type="dxa" w:w="100"/>
            </w:tcMar>
          </w:tcPr>
          <w:p>
            <w:r>
              <w:rPr>
                <w:b w:val="false"/>
                <w:bCs w:val="false"/>
                <w:color w:val="000000"/>
                <w:sz w:val="20"/>
                <w:szCs w:val="20"/>
              </w:rPr>
              <w:t xml:space="preserve">Year the title was originally released</w:t>
            </w:r>
          </w:p>
        </w:tc>
      </w:tr>
      <w:tr>
        <w:tc>
          <w:tcPr>
            <w:tcW w:type="dxa" w:w="2400"/>
            <w:tcMar>
              <w:top w:type="dxa" w:w="80"/>
              <w:left w:type="dxa" w:w="100"/>
              <w:bottom w:type="dxa" w:w="80"/>
              <w:right w:type="dxa" w:w="100"/>
            </w:tcMar>
          </w:tcPr>
          <w:p>
            <w:r>
              <w:rPr>
                <w:b w:val="false"/>
                <w:bCs w:val="false"/>
                <w:color w:val="000000"/>
                <w:sz w:val="20"/>
                <w:szCs w:val="20"/>
              </w:rPr>
              <w:t xml:space="preserve">rating</w:t>
            </w:r>
          </w:p>
        </w:tc>
        <w:tc>
          <w:tcPr>
            <w:tcW w:type="dxa" w:w="7100"/>
            <w:tcMar>
              <w:top w:type="dxa" w:w="80"/>
              <w:left w:type="dxa" w:w="100"/>
              <w:bottom w:type="dxa" w:w="80"/>
              <w:right w:type="dxa" w:w="100"/>
            </w:tcMar>
          </w:tcPr>
          <w:p>
            <w:r>
              <w:rPr>
                <w:b w:val="false"/>
                <w:bCs w:val="false"/>
                <w:color w:val="000000"/>
                <w:sz w:val="20"/>
                <w:szCs w:val="20"/>
              </w:rPr>
              <w:t xml:space="preserve">Content/age rating (e.g., TV-MA, PG-13)</w:t>
            </w:r>
          </w:p>
        </w:tc>
      </w:tr>
      <w:tr>
        <w:tc>
          <w:tcPr>
            <w:tcW w:type="dxa" w:w="2400"/>
            <w:tcMar>
              <w:top w:type="dxa" w:w="80"/>
              <w:left w:type="dxa" w:w="100"/>
              <w:bottom w:type="dxa" w:w="80"/>
              <w:right w:type="dxa" w:w="100"/>
            </w:tcMar>
          </w:tcPr>
          <w:p>
            <w:r>
              <w:rPr>
                <w:b w:val="false"/>
                <w:bCs w:val="false"/>
                <w:color w:val="000000"/>
                <w:sz w:val="20"/>
                <w:szCs w:val="20"/>
              </w:rPr>
              <w:t xml:space="preserve">duration</w:t>
            </w:r>
          </w:p>
        </w:tc>
        <w:tc>
          <w:tcPr>
            <w:tcW w:type="dxa" w:w="7100"/>
            <w:tcMar>
              <w:top w:type="dxa" w:w="80"/>
              <w:left w:type="dxa" w:w="100"/>
              <w:bottom w:type="dxa" w:w="80"/>
              <w:right w:type="dxa" w:w="100"/>
            </w:tcMar>
          </w:tcPr>
          <w:p>
            <w:r>
              <w:rPr>
                <w:b w:val="false"/>
                <w:bCs w:val="false"/>
                <w:color w:val="000000"/>
                <w:sz w:val="20"/>
                <w:szCs w:val="20"/>
              </w:rPr>
              <w:t xml:space="preserve">Runtime in minutes (movies) or seasons (TV shows)</w:t>
            </w:r>
          </w:p>
        </w:tc>
      </w:tr>
      <w:tr>
        <w:tc>
          <w:tcPr>
            <w:tcW w:type="dxa" w:w="2400"/>
            <w:tcMar>
              <w:top w:type="dxa" w:w="80"/>
              <w:left w:type="dxa" w:w="100"/>
              <w:bottom w:type="dxa" w:w="80"/>
              <w:right w:type="dxa" w:w="100"/>
            </w:tcMar>
          </w:tcPr>
          <w:p>
            <w:r>
              <w:rPr>
                <w:b w:val="false"/>
                <w:bCs w:val="false"/>
                <w:color w:val="000000"/>
                <w:sz w:val="20"/>
                <w:szCs w:val="20"/>
              </w:rPr>
              <w:t xml:space="preserve">listed_in</w:t>
            </w:r>
          </w:p>
        </w:tc>
        <w:tc>
          <w:tcPr>
            <w:tcW w:type="dxa" w:w="7100"/>
            <w:tcMar>
              <w:top w:type="dxa" w:w="80"/>
              <w:left w:type="dxa" w:w="100"/>
              <w:bottom w:type="dxa" w:w="80"/>
              <w:right w:type="dxa" w:w="100"/>
            </w:tcMar>
          </w:tcPr>
          <w:p>
            <w:r>
              <w:rPr>
                <w:b w:val="false"/>
                <w:bCs w:val="false"/>
                <w:color w:val="000000"/>
                <w:sz w:val="20"/>
                <w:szCs w:val="20"/>
              </w:rPr>
              <w:t xml:space="preserve">Genre(s)/category tags</w:t>
            </w:r>
          </w:p>
        </w:tc>
      </w:tr>
      <w:tr>
        <w:tc>
          <w:tcPr>
            <w:tcW w:type="dxa" w:w="2400"/>
            <w:tcMar>
              <w:top w:type="dxa" w:w="80"/>
              <w:left w:type="dxa" w:w="100"/>
              <w:bottom w:type="dxa" w:w="80"/>
              <w:right w:type="dxa" w:w="100"/>
            </w:tcMar>
          </w:tcPr>
          <w:p>
            <w:r>
              <w:rPr>
                <w:b w:val="false"/>
                <w:bCs w:val="false"/>
                <w:color w:val="000000"/>
                <w:sz w:val="20"/>
                <w:szCs w:val="20"/>
              </w:rPr>
              <w:t xml:space="preserve">description</w:t>
            </w:r>
          </w:p>
        </w:tc>
        <w:tc>
          <w:tcPr>
            <w:tcW w:type="dxa" w:w="7100"/>
            <w:tcMar>
              <w:top w:type="dxa" w:w="80"/>
              <w:left w:type="dxa" w:w="100"/>
              <w:bottom w:type="dxa" w:w="80"/>
              <w:right w:type="dxa" w:w="100"/>
            </w:tcMar>
          </w:tcPr>
          <w:p>
            <w:r>
              <w:rPr>
                <w:b w:val="false"/>
                <w:bCs w:val="false"/>
                <w:color w:val="000000"/>
                <w:sz w:val="20"/>
                <w:szCs w:val="20"/>
              </w:rPr>
              <w:t xml:space="preserve">Short synopsis of the title</w:t>
            </w:r>
          </w:p>
        </w:tc>
      </w:tr>
    </w:tbl>
    <w:p>
      <w:pPr>
        <w:spacing w:after="300"/>
      </w:pPr>
    </w:p>
    <w:p>
      <w:pPr>
        <w:spacing w:after="160"/>
        <w:jc w:val="left"/>
      </w:pPr>
      <w:r>
        <w:t xml:space="preserve">Key dataset statistics: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c>
          <w:tcPr>
            <w:tcW w:type="dxa" w:w="4200"/>
            <w:shd w:fill="E50914" w:val="clear"/>
            <w:tcMar>
              <w:top w:type="dxa" w:w="80"/>
              <w:left w:type="dxa" w:w="100"/>
              <w:bottom w:type="dxa" w:w="80"/>
              <w:right w:type="dxa" w:w="100"/>
            </w:tcMar>
          </w:tcPr>
          <w:p>
            <w:r>
              <w:rPr>
                <w:b/>
                <w:bCs/>
                <w:color w:val="FFFFFF"/>
                <w:sz w:val="20"/>
                <w:szCs w:val="20"/>
              </w:rPr>
              <w:t xml:space="preserve">Metric</w:t>
            </w:r>
          </w:p>
        </w:tc>
        <w:tc>
          <w:tcPr>
            <w:tcW w:type="dxa" w:w="5300"/>
            <w:shd w:fill="E50914" w:val="clear"/>
            <w:tcMar>
              <w:top w:type="dxa" w:w="80"/>
              <w:left w:type="dxa" w:w="100"/>
              <w:bottom w:type="dxa" w:w="80"/>
              <w:right w:type="dxa" w:w="100"/>
            </w:tcMar>
          </w:tcPr>
          <w:p>
            <w:r>
              <w:rPr>
                <w:b/>
                <w:bCs/>
                <w:color w:val="FFFFFF"/>
                <w:sz w:val="20"/>
                <w:szCs w:val="20"/>
              </w:rPr>
              <w:t xml:space="preserve">Value</w:t>
            </w:r>
          </w:p>
        </w:tc>
      </w:tr>
      <w:tr>
        <w:tc>
          <w:tcPr>
            <w:tcW w:type="dxa" w:w="4200"/>
            <w:tcMar>
              <w:top w:type="dxa" w:w="80"/>
              <w:left w:type="dxa" w:w="100"/>
              <w:bottom w:type="dxa" w:w="80"/>
              <w:right w:type="dxa" w:w="100"/>
            </w:tcMar>
          </w:tcPr>
          <w:p>
            <w:r>
              <w:rPr>
                <w:b w:val="false"/>
                <w:bCs w:val="false"/>
                <w:color w:val="000000"/>
                <w:sz w:val="20"/>
                <w:szCs w:val="20"/>
              </w:rPr>
              <w:t xml:space="preserve">Total titles</w:t>
            </w:r>
          </w:p>
        </w:tc>
        <w:tc>
          <w:tcPr>
            <w:tcW w:type="dxa" w:w="5300"/>
            <w:tcMar>
              <w:top w:type="dxa" w:w="80"/>
              <w:left w:type="dxa" w:w="100"/>
              <w:bottom w:type="dxa" w:w="80"/>
              <w:right w:type="dxa" w:w="100"/>
            </w:tcMar>
          </w:tcPr>
          <w:p>
            <w:r>
              <w:rPr>
                <w:b w:val="false"/>
                <w:bCs w:val="false"/>
                <w:color w:val="000000"/>
                <w:sz w:val="20"/>
                <w:szCs w:val="20"/>
              </w:rPr>
              <w:t xml:space="preserve">8,807</w:t>
            </w:r>
          </w:p>
        </w:tc>
      </w:tr>
      <w:tr>
        <w:tc>
          <w:tcPr>
            <w:tcW w:type="dxa" w:w="4200"/>
            <w:tcMar>
              <w:top w:type="dxa" w:w="80"/>
              <w:left w:type="dxa" w:w="100"/>
              <w:bottom w:type="dxa" w:w="80"/>
              <w:right w:type="dxa" w:w="100"/>
            </w:tcMar>
          </w:tcPr>
          <w:p>
            <w:r>
              <w:rPr>
                <w:b w:val="false"/>
                <w:bCs w:val="false"/>
                <w:color w:val="000000"/>
                <w:sz w:val="20"/>
                <w:szCs w:val="20"/>
              </w:rPr>
              <w:t xml:space="preserve">Movies</w:t>
            </w:r>
          </w:p>
        </w:tc>
        <w:tc>
          <w:tcPr>
            <w:tcW w:type="dxa" w:w="5300"/>
            <w:tcMar>
              <w:top w:type="dxa" w:w="80"/>
              <w:left w:type="dxa" w:w="100"/>
              <w:bottom w:type="dxa" w:w="80"/>
              <w:right w:type="dxa" w:w="100"/>
            </w:tcMar>
          </w:tcPr>
          <w:p>
            <w:r>
              <w:rPr>
                <w:b w:val="false"/>
                <w:bCs w:val="false"/>
                <w:color w:val="000000"/>
                <w:sz w:val="20"/>
                <w:szCs w:val="20"/>
              </w:rPr>
              <w:t xml:space="preserve">6,131 (69.6%)</w:t>
            </w:r>
          </w:p>
        </w:tc>
      </w:tr>
      <w:tr>
        <w:tc>
          <w:tcPr>
            <w:tcW w:type="dxa" w:w="4200"/>
            <w:tcMar>
              <w:top w:type="dxa" w:w="80"/>
              <w:left w:type="dxa" w:w="100"/>
              <w:bottom w:type="dxa" w:w="80"/>
              <w:right w:type="dxa" w:w="100"/>
            </w:tcMar>
          </w:tcPr>
          <w:p>
            <w:r>
              <w:rPr>
                <w:b w:val="false"/>
                <w:bCs w:val="false"/>
                <w:color w:val="000000"/>
                <w:sz w:val="20"/>
                <w:szCs w:val="20"/>
              </w:rPr>
              <w:t xml:space="preserve">TV Shows</w:t>
            </w:r>
          </w:p>
        </w:tc>
        <w:tc>
          <w:tcPr>
            <w:tcW w:type="dxa" w:w="5300"/>
            <w:tcMar>
              <w:top w:type="dxa" w:w="80"/>
              <w:left w:type="dxa" w:w="100"/>
              <w:bottom w:type="dxa" w:w="80"/>
              <w:right w:type="dxa" w:w="100"/>
            </w:tcMar>
          </w:tcPr>
          <w:p>
            <w:r>
              <w:rPr>
                <w:b w:val="false"/>
                <w:bCs w:val="false"/>
                <w:color w:val="000000"/>
                <w:sz w:val="20"/>
                <w:szCs w:val="20"/>
              </w:rPr>
              <w:t xml:space="preserve">2,676 (30.4%)</w:t>
            </w:r>
          </w:p>
        </w:tc>
      </w:tr>
      <w:tr>
        <w:tc>
          <w:tcPr>
            <w:tcW w:type="dxa" w:w="4200"/>
            <w:tcMar>
              <w:top w:type="dxa" w:w="80"/>
              <w:left w:type="dxa" w:w="100"/>
              <w:bottom w:type="dxa" w:w="80"/>
              <w:right w:type="dxa" w:w="100"/>
            </w:tcMar>
          </w:tcPr>
          <w:p>
            <w:r>
              <w:rPr>
                <w:b w:val="false"/>
                <w:bCs w:val="false"/>
                <w:color w:val="000000"/>
                <w:sz w:val="20"/>
                <w:szCs w:val="20"/>
              </w:rPr>
              <w:t xml:space="preserve">Release year range</w:t>
            </w:r>
          </w:p>
        </w:tc>
        <w:tc>
          <w:tcPr>
            <w:tcW w:type="dxa" w:w="5300"/>
            <w:tcMar>
              <w:top w:type="dxa" w:w="80"/>
              <w:left w:type="dxa" w:w="100"/>
              <w:bottom w:type="dxa" w:w="80"/>
              <w:right w:type="dxa" w:w="100"/>
            </w:tcMar>
          </w:tcPr>
          <w:p>
            <w:r>
              <w:rPr>
                <w:b w:val="false"/>
                <w:bCs w:val="false"/>
                <w:color w:val="000000"/>
                <w:sz w:val="20"/>
                <w:szCs w:val="20"/>
              </w:rPr>
              <w:t xml:space="preserve">1925 – 2021</w:t>
            </w:r>
          </w:p>
        </w:tc>
      </w:tr>
      <w:tr>
        <w:tc>
          <w:tcPr>
            <w:tcW w:type="dxa" w:w="4200"/>
            <w:tcMar>
              <w:top w:type="dxa" w:w="80"/>
              <w:left w:type="dxa" w:w="100"/>
              <w:bottom w:type="dxa" w:w="80"/>
              <w:right w:type="dxa" w:w="100"/>
            </w:tcMar>
          </w:tcPr>
          <w:p>
            <w:r>
              <w:rPr>
                <w:b w:val="false"/>
                <w:bCs w:val="false"/>
                <w:color w:val="000000"/>
                <w:sz w:val="20"/>
                <w:szCs w:val="20"/>
              </w:rPr>
              <w:t xml:space="preserve">Titles added (dated)</w:t>
            </w:r>
          </w:p>
        </w:tc>
        <w:tc>
          <w:tcPr>
            <w:tcW w:type="dxa" w:w="5300"/>
            <w:tcMar>
              <w:top w:type="dxa" w:w="80"/>
              <w:left w:type="dxa" w:w="100"/>
              <w:bottom w:type="dxa" w:w="80"/>
              <w:right w:type="dxa" w:w="100"/>
            </w:tcMar>
          </w:tcPr>
          <w:p>
            <w:r>
              <w:rPr>
                <w:b w:val="false"/>
                <w:bCs w:val="false"/>
                <w:color w:val="000000"/>
                <w:sz w:val="20"/>
                <w:szCs w:val="20"/>
              </w:rPr>
              <w:t xml:space="preserve">2008 – 2021</w:t>
            </w:r>
          </w:p>
        </w:tc>
      </w:tr>
      <w:tr>
        <w:tc>
          <w:tcPr>
            <w:tcW w:type="dxa" w:w="4200"/>
            <w:tcMar>
              <w:top w:type="dxa" w:w="80"/>
              <w:left w:type="dxa" w:w="100"/>
              <w:bottom w:type="dxa" w:w="80"/>
              <w:right w:type="dxa" w:w="100"/>
            </w:tcMar>
          </w:tcPr>
          <w:p>
            <w:r>
              <w:rPr>
                <w:b w:val="false"/>
                <w:bCs w:val="false"/>
                <w:color w:val="000000"/>
                <w:sz w:val="20"/>
                <w:szCs w:val="20"/>
              </w:rPr>
              <w:t xml:space="preserve">Distinct countries represented</w:t>
            </w:r>
          </w:p>
        </w:tc>
        <w:tc>
          <w:tcPr>
            <w:tcW w:type="dxa" w:w="5300"/>
            <w:tcMar>
              <w:top w:type="dxa" w:w="80"/>
              <w:left w:type="dxa" w:w="100"/>
              <w:bottom w:type="dxa" w:w="80"/>
              <w:right w:type="dxa" w:w="100"/>
            </w:tcMar>
          </w:tcPr>
          <w:p>
            <w:r>
              <w:rPr>
                <w:b w:val="false"/>
                <w:bCs w:val="false"/>
                <w:color w:val="000000"/>
                <w:sz w:val="20"/>
                <w:szCs w:val="20"/>
              </w:rPr>
              <w:t xml:space="preserve">748 unique country combinations</w:t>
            </w:r>
          </w:p>
        </w:tc>
      </w:tr>
      <w:tr>
        <w:tc>
          <w:tcPr>
            <w:tcW w:type="dxa" w:w="4200"/>
            <w:tcMar>
              <w:top w:type="dxa" w:w="80"/>
              <w:left w:type="dxa" w:w="100"/>
              <w:bottom w:type="dxa" w:w="80"/>
              <w:right w:type="dxa" w:w="100"/>
            </w:tcMar>
          </w:tcPr>
          <w:p>
            <w:r>
              <w:rPr>
                <w:b w:val="false"/>
                <w:bCs w:val="false"/>
                <w:color w:val="000000"/>
                <w:sz w:val="20"/>
                <w:szCs w:val="20"/>
              </w:rPr>
              <w:t xml:space="preserve">Duplicate rows</w:t>
            </w:r>
          </w:p>
        </w:tc>
        <w:tc>
          <w:tcPr>
            <w:tcW w:type="dxa" w:w="5300"/>
            <w:tcMar>
              <w:top w:type="dxa" w:w="80"/>
              <w:left w:type="dxa" w:w="100"/>
              <w:bottom w:type="dxa" w:w="80"/>
              <w:right w:type="dxa" w:w="100"/>
            </w:tcMar>
          </w:tcPr>
          <w:p>
            <w:r>
              <w:rPr>
                <w:b w:val="false"/>
                <w:bCs w:val="false"/>
                <w:color w:val="000000"/>
                <w:sz w:val="20"/>
                <w:szCs w:val="20"/>
              </w:rPr>
              <w:t xml:space="preserve">0</w:t>
            </w:r>
          </w:p>
        </w:tc>
      </w:tr>
    </w:tbl>
    <w:p>
      <w:pPr>
        <w:pStyle w:val="Heading1"/>
        <w:spacing w:after="200" w:before="400"/>
      </w:pPr>
      <w:r>
        <w:t xml:space="preserve">3. Data Cleaning</w:t>
      </w:r>
    </w:p>
    <w:p>
      <w:pPr>
        <w:spacing w:after="160"/>
        <w:jc w:val="left"/>
      </w:pPr>
      <w:r>
        <w:t xml:space="preserve">Before analysis, the following cleaning steps were applied:</w:t>
      </w:r>
    </w:p>
    <w:p>
      <w:pPr>
        <w:pStyle w:val="ListParagraph"/>
        <w:numPr>
          <w:ilvl w:val="0"/>
          <w:numId w:val="2"/>
        </w:numPr>
        <w:spacing w:after="80"/>
      </w:pPr>
      <w:r>
        <w:t xml:space="preserve">Parsed date_added into a proper datetime type and derived a year_added column.</w:t>
      </w:r>
    </w:p>
    <w:p>
      <w:pPr>
        <w:pStyle w:val="ListParagraph"/>
        <w:numPr>
          <w:ilvl w:val="0"/>
          <w:numId w:val="2"/>
        </w:numPr>
        <w:spacing w:after="80"/>
      </w:pPr>
      <w:r>
        <w:t xml:space="preserve">Missing values were found in director (2,634), cast (825), country (831), date_added (10) and rating (4) — these were treated as 'Unknown' rather than dropped, to avoid losing rows.</w:t>
      </w:r>
    </w:p>
    <w:p>
      <w:pPr>
        <w:pStyle w:val="ListParagraph"/>
        <w:numPr>
          <w:ilvl w:val="0"/>
          <w:numId w:val="2"/>
        </w:numPr>
        <w:spacing w:after="80"/>
      </w:pPr>
      <w:r>
        <w:t xml:space="preserve">For titles with multiple countries listed, the first listed country was used as the primary country of production.</w:t>
      </w:r>
    </w:p>
    <w:p>
      <w:pPr>
        <w:pStyle w:val="ListParagraph"/>
        <w:numPr>
          <w:ilvl w:val="0"/>
          <w:numId w:val="2"/>
        </w:numPr>
        <w:spacing w:after="80"/>
      </w:pPr>
      <w:r>
        <w:t xml:space="preserve">The listed_in genre field was split on commas to analyze individual genre tags, since many titles carry 2–3 genres.</w:t>
      </w:r>
    </w:p>
    <w:p>
      <w:pPr>
        <w:pStyle w:val="ListParagraph"/>
        <w:numPr>
          <w:ilvl w:val="0"/>
          <w:numId w:val="2"/>
        </w:numPr>
        <w:spacing w:after="80"/>
      </w:pPr>
      <w:r>
        <w:t xml:space="preserve">No duplicate rows were found in the dataset.</w:t>
      </w:r>
    </w:p>
    <w:p>
      <w:pPr>
        <w:pStyle w:val="Heading1"/>
        <w:spacing w:after="200" w:before="400"/>
      </w:pPr>
      <w:r>
        <w:t xml:space="preserve">4. Exploratory Data Analysis</w:t>
      </w:r>
    </w:p>
    <w:p>
      <w:pPr>
        <w:pStyle w:val="Heading2"/>
        <w:spacing w:after="150" w:before="300"/>
      </w:pPr>
      <w:r>
        <w:t xml:space="preserve">4.1 Content Type Distribution</w:t>
      </w:r>
    </w:p>
    <w:p>
      <w:pPr>
        <w:spacing w:after="160"/>
        <w:jc w:val="left"/>
      </w:pPr>
      <w:r>
        <w:t xml:space="preserve">Netflix's catalogue is dominated by movies, which make up just under 70% of all titles, while TV shows account for roughly 30%.</w:t>
      </w:r>
    </w:p>
    <w:p>
      <w:pPr>
        <w:spacing w:after="100" w:before="10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48000"/>
                    </a:xfrm>
                    <a:prstGeom prst="rect">
                      <a:avLst/>
                    </a:prstGeom>
                  </pic:spPr>
                </pic:pic>
              </a:graphicData>
            </a:graphic>
          </wp:inline>
        </w:drawing>
      </w:r>
    </w:p>
    <w:p>
      <w:pPr>
        <w:spacing w:after="300"/>
        <w:jc w:val="center"/>
      </w:pPr>
      <w:r>
        <w:rPr>
          <w:i/>
          <w:iCs/>
          <w:color w:val="564D4D"/>
          <w:sz w:val="20"/>
          <w:szCs w:val="20"/>
        </w:rPr>
        <w:t xml:space="preserve">Figure 1: Proportion of Movies vs TV Shows in the catalogue</w:t>
      </w:r>
    </w:p>
    <w:p>
      <w:pPr>
        <w:pStyle w:val="Heading2"/>
        <w:spacing w:after="150" w:before="300"/>
      </w:pPr>
      <w:r>
        <w:t xml:space="preserve">4.2 Catalogue Growth Over Time</w:t>
      </w:r>
    </w:p>
    <w:p>
      <w:pPr>
        <w:spacing w:after="160"/>
        <w:jc w:val="left"/>
      </w:pPr>
      <w:r>
        <w:t xml:space="preserve">The number of titles added to Netflix grew steadily from 2008 through 2019, before dipping slightly in 2020–2021 — plausibly linked to production slowdowns during the COVID-19 pandemic. 2019 was the peak year, with just over 2,000 new titles added.</w:t>
      </w:r>
    </w:p>
    <w:p>
      <w:pPr>
        <w:spacing w:after="100" w:before="10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76500"/>
                    </a:xfrm>
                    <a:prstGeom prst="rect">
                      <a:avLst/>
                    </a:prstGeom>
                  </pic:spPr>
                </pic:pic>
              </a:graphicData>
            </a:graphic>
          </wp:inline>
        </w:drawing>
      </w:r>
    </w:p>
    <w:p>
      <w:pPr>
        <w:spacing w:after="300"/>
        <w:jc w:val="center"/>
      </w:pPr>
      <w:r>
        <w:rPr>
          <w:i/>
          <w:iCs/>
          <w:color w:val="564D4D"/>
          <w:sz w:val="20"/>
          <w:szCs w:val="20"/>
        </w:rPr>
        <w:t xml:space="preserve">Figure 2: Number of titles added to Netflix, by year</w:t>
      </w:r>
    </w:p>
    <w:p>
      <w:pPr>
        <w:pStyle w:val="Heading2"/>
        <w:spacing w:after="150" w:before="300"/>
      </w:pPr>
      <w:r>
        <w:t xml:space="preserve">4.3 Most Common Genres</w:t>
      </w:r>
    </w:p>
    <w:p>
      <w:pPr>
        <w:spacing w:after="160"/>
        <w:jc w:val="left"/>
      </w:pPr>
      <w:r>
        <w:t xml:space="preserve">International Movies, Dramas, and Comedies are the three largest genre categories. International content overall (International Movies + International TV Shows) represents a very large share of the catalogue, reflecting Netflix's global content strategy.</w:t>
      </w:r>
    </w:p>
    <w:p>
      <w:pPr>
        <w:spacing w:after="100" w:before="10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67000"/>
                    </a:xfrm>
                    <a:prstGeom prst="rect">
                      <a:avLst/>
                    </a:prstGeom>
                  </pic:spPr>
                </pic:pic>
              </a:graphicData>
            </a:graphic>
          </wp:inline>
        </w:drawing>
      </w:r>
    </w:p>
    <w:p>
      <w:pPr>
        <w:spacing w:after="300"/>
        <w:jc w:val="center"/>
      </w:pPr>
      <w:r>
        <w:rPr>
          <w:i/>
          <w:iCs/>
          <w:color w:val="564D4D"/>
          <w:sz w:val="20"/>
          <w:szCs w:val="20"/>
        </w:rPr>
        <w:t xml:space="preserve">Figure 3: Top 10 genres by number of titles</w:t>
      </w:r>
    </w:p>
    <w:p>
      <w:pPr>
        <w:pStyle w:val="Heading2"/>
        <w:spacing w:after="150" w:before="300"/>
      </w:pPr>
      <w:r>
        <w:t xml:space="preserve">4.4 Content by Country</w:t>
      </w:r>
    </w:p>
    <w:p>
      <w:pPr>
        <w:spacing w:after="160"/>
        <w:jc w:val="left"/>
      </w:pPr>
      <w:r>
        <w:t xml:space="preserve">The United States leads content production by a wide margin, followed by India and the United Kingdom. This reflects both Netflix's origins as a US company and its major investments in Indian regional content.</w:t>
      </w:r>
    </w:p>
    <w:p>
      <w:pPr>
        <w:spacing w:after="100" w:before="10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76500"/>
                    </a:xfrm>
                    <a:prstGeom prst="rect">
                      <a:avLst/>
                    </a:prstGeom>
                  </pic:spPr>
                </pic:pic>
              </a:graphicData>
            </a:graphic>
          </wp:inline>
        </w:drawing>
      </w:r>
    </w:p>
    <w:p>
      <w:pPr>
        <w:spacing w:after="300"/>
        <w:jc w:val="center"/>
      </w:pPr>
      <w:r>
        <w:rPr>
          <w:i/>
          <w:iCs/>
          <w:color w:val="564D4D"/>
          <w:sz w:val="20"/>
          <w:szCs w:val="20"/>
        </w:rPr>
        <w:t xml:space="preserve">Figure 4: Top 10 countries by number of titles produced</w:t>
      </w:r>
    </w:p>
    <w:p>
      <w:r>
        <w:br w:type="page"/>
      </w:r>
    </w:p>
    <w:p>
      <w:pPr>
        <w:pStyle w:val="Heading2"/>
        <w:spacing w:after="150" w:before="300"/>
      </w:pPr>
      <w:r>
        <w:t xml:space="preserve">4.5 Content Ratings</w:t>
      </w:r>
    </w:p>
    <w:p>
      <w:pPr>
        <w:spacing w:after="160"/>
        <w:jc w:val="left"/>
      </w:pPr>
      <w:r>
        <w:t xml:space="preserve">TV-MA (mature audiences) and TV-14 are the two most common ratings, together accounting for well over half of all titles — indicating that Netflix's catalogue skews toward adult and teen audiences rather than young children.</w:t>
      </w:r>
    </w:p>
    <w:p>
      <w:pPr>
        <w:spacing w:after="100" w:before="10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76500"/>
                    </a:xfrm>
                    <a:prstGeom prst="rect">
                      <a:avLst/>
                    </a:prstGeom>
                  </pic:spPr>
                </pic:pic>
              </a:graphicData>
            </a:graphic>
          </wp:inline>
        </w:drawing>
      </w:r>
    </w:p>
    <w:p>
      <w:pPr>
        <w:spacing w:after="300"/>
        <w:jc w:val="center"/>
      </w:pPr>
      <w:r>
        <w:rPr>
          <w:i/>
          <w:iCs/>
          <w:color w:val="564D4D"/>
          <w:sz w:val="20"/>
          <w:szCs w:val="20"/>
        </w:rPr>
        <w:t xml:space="preserve">Figure 5: Distribution of content ratings</w:t>
      </w:r>
    </w:p>
    <w:p>
      <w:pPr>
        <w:pStyle w:val="Heading2"/>
        <w:spacing w:after="150" w:before="300"/>
      </w:pPr>
      <w:r>
        <w:t xml:space="preserve">4.6 Release Year Trends: Movies vs TV Shows</w:t>
      </w:r>
    </w:p>
    <w:p>
      <w:pPr>
        <w:spacing w:after="160"/>
        <w:jc w:val="left"/>
      </w:pPr>
      <w:r>
        <w:t xml:space="preserve">Both movies and TV shows on the platform are heavily weighted toward recent releases (2015 onward), but movies show a longer tail of older titles reaching back several decades, while TV shows are more concentrated in the last 10–15 years.</w:t>
      </w:r>
    </w:p>
    <w:p>
      <w:pPr>
        <w:spacing w:after="100" w:before="10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76500"/>
                    </a:xfrm>
                    <a:prstGeom prst="rect">
                      <a:avLst/>
                    </a:prstGeom>
                  </pic:spPr>
                </pic:pic>
              </a:graphicData>
            </a:graphic>
          </wp:inline>
        </w:drawing>
      </w:r>
    </w:p>
    <w:p>
      <w:pPr>
        <w:spacing w:after="300"/>
        <w:jc w:val="center"/>
      </w:pPr>
      <w:r>
        <w:rPr>
          <w:i/>
          <w:iCs/>
          <w:color w:val="564D4D"/>
          <w:sz w:val="20"/>
          <w:szCs w:val="20"/>
        </w:rPr>
        <w:t xml:space="preserve">Figure 6: Release year distribution, Movies vs TV Shows (since 1990)</w:t>
      </w:r>
    </w:p>
    <w:p>
      <w:pPr>
        <w:pStyle w:val="Heading1"/>
        <w:spacing w:after="200" w:before="400"/>
      </w:pPr>
      <w:r>
        <w:t xml:space="preserve">5. Key Insights</w:t>
      </w:r>
    </w:p>
    <w:p>
      <w:pPr>
        <w:pStyle w:val="ListParagraph"/>
        <w:numPr>
          <w:ilvl w:val="0"/>
          <w:numId w:val="2"/>
        </w:numPr>
        <w:spacing w:after="80"/>
      </w:pPr>
      <w:r>
        <w:t xml:space="preserve">Movies outnumber TV shows roughly 2.3 to 1 on the platform.</w:t>
      </w:r>
    </w:p>
    <w:p>
      <w:pPr>
        <w:pStyle w:val="ListParagraph"/>
        <w:numPr>
          <w:ilvl w:val="0"/>
          <w:numId w:val="2"/>
        </w:numPr>
        <w:spacing w:after="80"/>
      </w:pPr>
      <w:r>
        <w:t xml:space="preserve">Content acquisition accelerated sharply after 2015, peaking in 2019, then eased slightly in 2020–2021.</w:t>
      </w:r>
    </w:p>
    <w:p>
      <w:pPr>
        <w:pStyle w:val="ListParagraph"/>
        <w:numPr>
          <w:ilvl w:val="0"/>
          <w:numId w:val="2"/>
        </w:numPr>
        <w:spacing w:after="80"/>
      </w:pPr>
      <w:r>
        <w:t xml:space="preserve">International Movies is the single largest genre tag, ahead of Dramas and Comedies — underscoring Netflix's global-first content strategy.</w:t>
      </w:r>
    </w:p>
    <w:p>
      <w:pPr>
        <w:pStyle w:val="ListParagraph"/>
        <w:numPr>
          <w:ilvl w:val="0"/>
          <w:numId w:val="2"/>
        </w:numPr>
        <w:spacing w:after="80"/>
      </w:pPr>
      <w:r>
        <w:t xml:space="preserve">The US, India, and the UK together account for a large majority of production countries, with India standing out as the top non-US contributor.</w:t>
      </w:r>
    </w:p>
    <w:p>
      <w:pPr>
        <w:pStyle w:val="ListParagraph"/>
        <w:numPr>
          <w:ilvl w:val="0"/>
          <w:numId w:val="2"/>
        </w:numPr>
        <w:spacing w:after="80"/>
      </w:pPr>
      <w:r>
        <w:t xml:space="preserve">TV-MA and TV-14 ratings dominate, suggesting the catalogue is oriented toward teen and adult viewers over young children's content.</w:t>
      </w:r>
    </w:p>
    <w:p>
      <w:pPr>
        <w:pStyle w:val="ListParagraph"/>
        <w:numPr>
          <w:ilvl w:val="0"/>
          <w:numId w:val="2"/>
        </w:numPr>
        <w:spacing w:after="80"/>
      </w:pPr>
      <w:r>
        <w:t xml:space="preserve">Older titles (pre-1990) exist mostly among movies, while TV shows are almost entirely a post-2000 phenomenon on the platform.</w:t>
      </w:r>
    </w:p>
    <w:p>
      <w:pPr>
        <w:pStyle w:val="Heading1"/>
        <w:spacing w:after="200" w:before="400"/>
      </w:pPr>
      <w:r>
        <w:t xml:space="preserve">6. Limitations</w:t>
      </w:r>
    </w:p>
    <w:p>
      <w:pPr>
        <w:pStyle w:val="ListParagraph"/>
        <w:numPr>
          <w:ilvl w:val="0"/>
          <w:numId w:val="2"/>
        </w:numPr>
        <w:spacing w:after="80"/>
      </w:pPr>
      <w:r>
        <w:t xml:space="preserve">The dataset is a snapshot (as of 2021) and does not reflect Netflix's current catalogue.</w:t>
      </w:r>
    </w:p>
    <w:p>
      <w:pPr>
        <w:pStyle w:val="ListParagraph"/>
        <w:numPr>
          <w:ilvl w:val="0"/>
          <w:numId w:val="2"/>
        </w:numPr>
        <w:spacing w:after="80"/>
      </w:pPr>
      <w:r>
        <w:t xml:space="preserve">Country, director, and cast fields have missing values, which were treated as 'Unknown' rather than imputed, so regional and personnel-based analysis is only partial.</w:t>
      </w:r>
    </w:p>
    <w:p>
      <w:pPr>
        <w:pStyle w:val="ListParagraph"/>
        <w:numPr>
          <w:ilvl w:val="0"/>
          <w:numId w:val="2"/>
        </w:numPr>
        <w:spacing w:after="80"/>
      </w:pPr>
      <w:r>
        <w:t xml:space="preserve">Only the first listed country was used for country-level analysis, which slightly understates co-production countries.</w:t>
      </w:r>
    </w:p>
    <w:p>
      <w:pPr>
        <w:pStyle w:val="ListParagraph"/>
        <w:numPr>
          <w:ilvl w:val="0"/>
          <w:numId w:val="2"/>
        </w:numPr>
        <w:spacing w:after="80"/>
      </w:pPr>
      <w:r>
        <w:t xml:space="preserve">Duration mixes two different units (minutes for movies, seasons for TV shows) so it could not be directly compared across content types.</w:t>
      </w:r>
    </w:p>
    <w:p>
      <w:pPr>
        <w:pStyle w:val="Heading1"/>
        <w:spacing w:after="200" w:before="400"/>
      </w:pPr>
      <w:r>
        <w:t xml:space="preserve">7. Conclusion</w:t>
      </w:r>
    </w:p>
    <w:p>
      <w:pPr>
        <w:spacing w:after="160"/>
        <w:jc w:val="left"/>
      </w:pPr>
      <w:r>
        <w:t xml:space="preserve">This EDA of the Netflix Titles dataset highlights a catalogue that is movie-heavy, increasingly international, and oriented toward mature audiences. Content growth accelerated significantly between 2016 and 2019 before leveling off. These patterns offer a useful baseline for further analysis, such as genre-level trends within specific countries or predictive modelling of content popularity.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4D4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4D4D"/>
        <w:sz w:val="18"/>
        <w:szCs w:val="18"/>
      </w:rPr>
      <w:t xml:space="preserve">Netflix Titles — EDA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f44bfded2883640cab522d8e3957459650b442.png"/><Relationship Id="rId10" Type="http://schemas.openxmlformats.org/officeDocument/2006/relationships/image" Target="media/30a59514be4fd623f050d7cbc511fad22adc290b.png"/><Relationship Id="rId11" Type="http://schemas.openxmlformats.org/officeDocument/2006/relationships/image" Target="media/39661e209d771e5328aa451dca264427fd09028d.png"/><Relationship Id="rId12" Type="http://schemas.openxmlformats.org/officeDocument/2006/relationships/image" Target="media/f881126c20397d069d196f23d436f648a0d8bfc5.png"/><Relationship Id="rId13" Type="http://schemas.openxmlformats.org/officeDocument/2006/relationships/image" Target="media/1b570df2a30bf694bbeb7c0ec101191265e24c96.png"/><Relationship Id="rId14" Type="http://schemas.openxmlformats.org/officeDocument/2006/relationships/image" Target="media/2dba6d94e41a6d692d56ee0eeb3301d46011f30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2026-09-15T06:34:54.871Z</dcterms:created>
  <dcterms:modified xsi:type="dcterms:W3CDTF">2026-09-15T06:34:54.880Z</dcterms:modified>
</cp:coreProperties>
</file>

<file path=docProps/custom.xml><?xml version="1.0" encoding="utf-8"?>
<Properties xmlns="http://schemas.openxmlformats.org/officeDocument/2006/custom-properties" xmlns:vt="http://schemas.openxmlformats.org/officeDocument/2006/docPropsVTypes"/>
</file>