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095D" w:rsidRDefault="00CF708D">
      <w:pPr>
        <w:pStyle w:val="Title"/>
      </w:pPr>
      <w:bookmarkStart w:id="0" w:name="_GoBack"/>
      <w:bookmarkEnd w:id="0"/>
      <w:r>
        <w:t>Comparison of Multi-response Prediction Methods</w:t>
      </w:r>
    </w:p>
    <w:p w:rsidR="0096095D" w:rsidRDefault="00826A92">
      <w:pPr>
        <w:pStyle w:val="Date"/>
      </w:pPr>
      <w:r>
        <w:t>March 5, 2019</w:t>
      </w:r>
    </w:p>
    <w:p w:rsidR="0096095D" w:rsidRDefault="00CF708D">
      <w:pPr>
        <w:pStyle w:val="Abstract"/>
      </w:pPr>
      <w:r>
        <w:t>While Data science is battling to extract information from the enormous explosion of data, many estimators and algorithms are being developed for better prediction. Researchers and data scientists often introduce new methods and evaluate them based on various aspects of data. However, studies on the impact of/on model with multiple response variables are limited. This study compares some newly-developed (envelope) and well-established (PLS, PCR) prediction methods based on real data and simulated data specifically designed by varying properties such as multicollinearity, correlation between multiple responses and position of relevant principal components of predictors. This study aims to give some insight on these methods and help researcher to understand and use them for further studies.</w:t>
      </w:r>
    </w:p>
    <w:p w:rsidR="0096095D" w:rsidRDefault="00CF708D">
      <w:pPr>
        <w:pStyle w:val="Heading1"/>
      </w:pPr>
      <w:bookmarkStart w:id="1" w:name="introduction"/>
      <w:bookmarkEnd w:id="1"/>
      <w:r>
        <w:t>Introduction</w:t>
      </w:r>
    </w:p>
    <w:p w:rsidR="0096095D" w:rsidRDefault="00CF708D">
      <w:pPr>
        <w:pStyle w:val="FirstParagraph"/>
      </w:pPr>
      <w:r>
        <w:t>Prediction has been an essential component of modern data science, weather it is statistical analysis or machine learning. Modern technology has facilitated a massive explosion of data, however, such data often contain irrelevant information consequently making prediction difficult. Researchers are devising new methods and algorithms in order to extract information to create robust predictive models. Mostly such models contain predictor variables that are directly or indirectly correlated with other predictor variables. In addition studies often constitute of many response variables correlated with each other. These interlinked relationships influence any study, whether it is predictive modeling or inference.</w:t>
      </w:r>
    </w:p>
    <w:p w:rsidR="0096095D" w:rsidRDefault="00CF708D">
      <w:pPr>
        <w:pStyle w:val="BodyText"/>
      </w:pPr>
      <w:r>
        <w:t xml:space="preserve">Modern inter-disciplinary research fields such as chemometrics, econometrics and bioinformatics are handling multi-response models extensively. This paper attempts to compare some multivariate prediction methods based on their prediction performance on linear model data with specific properties. The properties include correlation between response variables, correlation between predictor variables, number of predictor variables and the position of relevant predictor components. These properties are discussed more in the </w:t>
      </w:r>
      <w:hyperlink w:anchor="experimental-design">
        <w:r>
          <w:rPr>
            <w:rStyle w:val="Hyperlink"/>
          </w:rPr>
          <w:t>Experimental Design</w:t>
        </w:r>
      </w:hyperlink>
      <w:r>
        <w:t xml:space="preserve"> section. Among others Sæbø, Almøy, and Helland (</w:t>
      </w:r>
      <w:hyperlink w:anchor="ref-saebo2015simrel">
        <w:r>
          <w:rPr>
            <w:rStyle w:val="Hyperlink"/>
          </w:rPr>
          <w:t>2015</w:t>
        </w:r>
      </w:hyperlink>
      <w:r>
        <w:t>) and Almøy (</w:t>
      </w:r>
      <w:hyperlink w:anchor="ref-Alm_y_1996">
        <w:r>
          <w:rPr>
            <w:rStyle w:val="Hyperlink"/>
          </w:rPr>
          <w:t>1996</w:t>
        </w:r>
      </w:hyperlink>
      <w:r>
        <w:t>) have made a similar comparison in the single response setting. In addition, Rimal, Almøy, and Sæbø (</w:t>
      </w:r>
      <w:hyperlink w:anchor="ref-Rimal2018">
        <w:r>
          <w:rPr>
            <w:rStyle w:val="Hyperlink"/>
          </w:rPr>
          <w:t>2018</w:t>
        </w:r>
      </w:hyperlink>
      <w:r>
        <w:t xml:space="preserve">) has also made a basic comparison on some prediction methods and their interaction with the data properties of a multi-response model. The main aim of this paper is to present a comprehensive comparison of contemporary prediction methods such as simultaneous envelope estimation (Senv) (R. Dennis </w:t>
      </w:r>
      <w:r>
        <w:lastRenderedPageBreak/>
        <w:t xml:space="preserve">Cook and Zhang </w:t>
      </w:r>
      <w:hyperlink w:anchor="ref-cook2015simultaneous">
        <w:r>
          <w:rPr>
            <w:rStyle w:val="Hyperlink"/>
          </w:rPr>
          <w:t>2015</w:t>
        </w:r>
      </w:hyperlink>
      <w:r>
        <w:t xml:space="preserve">) and envelope estimation in predictor space (Xenv) (R Dennis Cook, Li, and Chiaromonte </w:t>
      </w:r>
      <w:hyperlink w:anchor="ref-cook2010envelope">
        <w:r>
          <w:rPr>
            <w:rStyle w:val="Hyperlink"/>
          </w:rPr>
          <w:t>2010</w:t>
        </w:r>
      </w:hyperlink>
      <w:r>
        <w:t>) with customary prediction methods such as Principal Component Regression (PCR), Partial Least Squares Regression (PLS) using simulated dataset with controlled properties. In the case of PLS, we have used PLS1 which fits individual response separately and PLS2 which fits all the responses together. An experimental design and the methods under comparison are discussed further, followed by a brief discussion of the strategy behind the data simulation.</w:t>
      </w:r>
    </w:p>
    <w:p w:rsidR="0096095D" w:rsidRDefault="00CF708D">
      <w:pPr>
        <w:pStyle w:val="Heading1"/>
      </w:pPr>
      <w:bookmarkStart w:id="2" w:name="simulation-model"/>
      <w:bookmarkEnd w:id="2"/>
      <w:r>
        <w:t>Simulation Model</w:t>
      </w:r>
    </w:p>
    <w:p w:rsidR="0096095D" w:rsidRDefault="00CF708D">
      <w:pPr>
        <w:pStyle w:val="FirstParagraph"/>
      </w:pPr>
      <w:r>
        <w:t xml:space="preserve">Consider a model where the response vector </w:t>
      </w:r>
      <m:oMath>
        <m:r>
          <w:rPr>
            <w:rFonts w:ascii="Cambria Math" w:hAnsi="Cambria Math"/>
          </w:rPr>
          <m:t>(</m:t>
        </m:r>
        <m:r>
          <m:rPr>
            <m:sty m:val="b"/>
          </m:rPr>
          <w:rPr>
            <w:rFonts w:ascii="Cambria Math" w:hAnsi="Cambria Math"/>
          </w:rPr>
          <m:t>y</m:t>
        </m:r>
        <m:r>
          <w:rPr>
            <w:rFonts w:ascii="Cambria Math" w:hAnsi="Cambria Math"/>
          </w:rPr>
          <m:t>)</m:t>
        </m:r>
      </m:oMath>
      <w:r>
        <w:t xml:space="preserve"> with </w:t>
      </w:r>
      <m:oMath>
        <m:r>
          <w:rPr>
            <w:rFonts w:ascii="Cambria Math" w:hAnsi="Cambria Math"/>
          </w:rPr>
          <m:t>m</m:t>
        </m:r>
      </m:oMath>
      <w:r>
        <w:t xml:space="preserve"> elements and predictor vector </w:t>
      </w:r>
      <m:oMath>
        <m:r>
          <w:rPr>
            <w:rFonts w:ascii="Cambria Math" w:hAnsi="Cambria Math"/>
          </w:rPr>
          <m:t>(</m:t>
        </m:r>
        <m:r>
          <m:rPr>
            <m:sty m:val="b"/>
          </m:rPr>
          <w:rPr>
            <w:rFonts w:ascii="Cambria Math" w:hAnsi="Cambria Math"/>
          </w:rPr>
          <m:t>x</m:t>
        </m:r>
        <m:r>
          <w:rPr>
            <w:rFonts w:ascii="Cambria Math" w:hAnsi="Cambria Math"/>
          </w:rPr>
          <m:t>)</m:t>
        </m:r>
      </m:oMath>
      <w:r>
        <w:t xml:space="preserve"> with </w:t>
      </w:r>
      <m:oMath>
        <m:r>
          <w:rPr>
            <w:rFonts w:ascii="Cambria Math" w:hAnsi="Cambria Math"/>
          </w:rPr>
          <m:t>p</m:t>
        </m:r>
      </m:oMath>
      <w:r>
        <w:t xml:space="preserve"> elements follow a multivariate normal distribution as follows,</w:t>
      </w:r>
    </w:p>
    <w:p w:rsidR="0096095D" w:rsidRDefault="002E0E1D">
      <w:pPr>
        <w:pStyle w:val="BodyText"/>
      </w:pPr>
      <m:oMathPara>
        <m:oMathParaPr>
          <m:jc m:val="center"/>
        </m:oMathParaPr>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m:rPr>
                        <m:sty m:val="b"/>
                      </m:rPr>
                      <w:rPr>
                        <w:rFonts w:ascii="Cambria Math" w:hAnsi="Cambria Math"/>
                      </w:rPr>
                      <m:t>y</m:t>
                    </m:r>
                  </m:e>
                </m:mr>
                <m:mr>
                  <m:e>
                    <m:r>
                      <m:rPr>
                        <m:sty m:val="b"/>
                      </m:rPr>
                      <w:rPr>
                        <w:rFonts w:ascii="Cambria Math" w:hAnsi="Cambria Math"/>
                      </w:rPr>
                      <m:t>x</m:t>
                    </m:r>
                  </m:e>
                </m:mr>
              </m:m>
            </m:e>
          </m:d>
          <m:r>
            <w:rPr>
              <w:rFonts w:ascii="Cambria Math" w:hAnsi="Cambria Math"/>
            </w:rPr>
            <m:t>∼</m:t>
          </m:r>
          <m:r>
            <m:rPr>
              <m:scr m:val="script"/>
              <m:sty m:val="p"/>
            </m:rPr>
            <w:rPr>
              <w:rFonts w:ascii="Cambria Math" w:hAnsi="Cambria Math"/>
            </w:rPr>
            <m:t>N</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m:rPr>
                                <m:sty m:val="b"/>
                              </m:rPr>
                              <w:rPr>
                                <w:rFonts w:ascii="Cambria Math" w:hAnsi="Cambria Math"/>
                              </w:rPr>
                              <m:t>μ</m:t>
                            </m:r>
                          </m:e>
                          <m:sub>
                            <m:r>
                              <w:rPr>
                                <w:rFonts w:ascii="Cambria Math" w:hAnsi="Cambria Math"/>
                              </w:rPr>
                              <m:t>y</m:t>
                            </m:r>
                          </m:sub>
                        </m:sSub>
                      </m:e>
                    </m:mr>
                    <m:mr>
                      <m:e>
                        <m:sSub>
                          <m:sSubPr>
                            <m:ctrlPr>
                              <w:rPr>
                                <w:rFonts w:ascii="Cambria Math" w:hAnsi="Cambria Math"/>
                              </w:rPr>
                            </m:ctrlPr>
                          </m:sSubPr>
                          <m:e>
                            <m:r>
                              <m:rPr>
                                <m:sty m:val="b"/>
                              </m:rPr>
                              <w:rPr>
                                <w:rFonts w:ascii="Cambria Math" w:hAnsi="Cambria Math"/>
                              </w:rPr>
                              <m:t>μ</m:t>
                            </m:r>
                          </m:e>
                          <m:sub>
                            <m:r>
                              <w:rPr>
                                <w:rFonts w:ascii="Cambria Math" w:hAnsi="Cambria Math"/>
                              </w:rPr>
                              <m:t>x</m:t>
                            </m:r>
                          </m:sub>
                        </m:sSub>
                      </m:e>
                    </m:mr>
                  </m:m>
                </m:e>
              </m:d>
              <m: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m:rPr>
                                <m:sty m:val="b"/>
                              </m:rPr>
                              <w:rPr>
                                <w:rFonts w:ascii="Cambria Math" w:hAnsi="Cambria Math"/>
                              </w:rPr>
                              <m:t>Σ</m:t>
                            </m:r>
                          </m:e>
                          <m:sub>
                            <m:r>
                              <w:rPr>
                                <w:rFonts w:ascii="Cambria Math" w:hAnsi="Cambria Math"/>
                              </w:rPr>
                              <m:t>yy</m:t>
                            </m:r>
                          </m:sub>
                        </m:sSub>
                      </m:e>
                      <m:e>
                        <m:sSub>
                          <m:sSubPr>
                            <m:ctrlPr>
                              <w:rPr>
                                <w:rFonts w:ascii="Cambria Math" w:hAnsi="Cambria Math"/>
                              </w:rPr>
                            </m:ctrlPr>
                          </m:sSubPr>
                          <m:e>
                            <m:r>
                              <m:rPr>
                                <m:sty m:val="b"/>
                              </m:rPr>
                              <w:rPr>
                                <w:rFonts w:ascii="Cambria Math" w:hAnsi="Cambria Math"/>
                              </w:rPr>
                              <m:t>Σ</m:t>
                            </m:r>
                          </m:e>
                          <m:sub>
                            <m:r>
                              <w:rPr>
                                <w:rFonts w:ascii="Cambria Math" w:hAnsi="Cambria Math"/>
                              </w:rPr>
                              <m:t>yx</m:t>
                            </m:r>
                          </m:sub>
                        </m:sSub>
                      </m:e>
                    </m:mr>
                    <m:mr>
                      <m:e>
                        <m:sSub>
                          <m:sSubPr>
                            <m:ctrlPr>
                              <w:rPr>
                                <w:rFonts w:ascii="Cambria Math" w:hAnsi="Cambria Math"/>
                              </w:rPr>
                            </m:ctrlPr>
                          </m:sSubPr>
                          <m:e>
                            <m:r>
                              <m:rPr>
                                <m:sty m:val="b"/>
                              </m:rPr>
                              <w:rPr>
                                <w:rFonts w:ascii="Cambria Math" w:hAnsi="Cambria Math"/>
                              </w:rPr>
                              <m:t>Σ</m:t>
                            </m:r>
                          </m:e>
                          <m:sub>
                            <m:r>
                              <w:rPr>
                                <w:rFonts w:ascii="Cambria Math" w:hAnsi="Cambria Math"/>
                              </w:rPr>
                              <m:t>xy</m:t>
                            </m:r>
                          </m:sub>
                        </m:sSub>
                      </m:e>
                      <m:e>
                        <m:sSub>
                          <m:sSubPr>
                            <m:ctrlPr>
                              <w:rPr>
                                <w:rFonts w:ascii="Cambria Math" w:hAnsi="Cambria Math"/>
                              </w:rPr>
                            </m:ctrlPr>
                          </m:sSubPr>
                          <m:e>
                            <m:r>
                              <m:rPr>
                                <m:sty m:val="b"/>
                              </m:rPr>
                              <w:rPr>
                                <w:rFonts w:ascii="Cambria Math" w:hAnsi="Cambria Math"/>
                              </w:rPr>
                              <m:t>Σ</m:t>
                            </m:r>
                          </m:e>
                          <m:sub>
                            <m:r>
                              <w:rPr>
                                <w:rFonts w:ascii="Cambria Math" w:hAnsi="Cambria Math"/>
                              </w:rPr>
                              <m:t>xx</m:t>
                            </m:r>
                          </m:sub>
                        </m:sSub>
                      </m:e>
                    </m:mr>
                  </m:m>
                </m:e>
              </m:d>
            </m:e>
          </m:d>
          <m:r>
            <w:rPr>
              <w:rFonts w:ascii="Cambria Math" w:hAnsi="Cambria Math"/>
            </w:rPr>
            <m:t>  (1)</m:t>
          </m:r>
        </m:oMath>
      </m:oMathPara>
    </w:p>
    <w:p w:rsidR="0096095D" w:rsidRDefault="00CF708D">
      <w:pPr>
        <w:pStyle w:val="FirstParagraph"/>
      </w:pPr>
      <w:r>
        <w:t xml:space="preserve">where, </w:t>
      </w:r>
      <m:oMath>
        <m:sSub>
          <m:sSubPr>
            <m:ctrlPr>
              <w:rPr>
                <w:rFonts w:ascii="Cambria Math" w:hAnsi="Cambria Math"/>
              </w:rPr>
            </m:ctrlPr>
          </m:sSubPr>
          <m:e>
            <m:r>
              <m:rPr>
                <m:sty m:val="b"/>
              </m:rPr>
              <w:rPr>
                <w:rFonts w:ascii="Cambria Math" w:hAnsi="Cambria Math"/>
              </w:rPr>
              <m:t>Σ</m:t>
            </m:r>
          </m:e>
          <m:sub>
            <m:r>
              <w:rPr>
                <w:rFonts w:ascii="Cambria Math" w:hAnsi="Cambria Math"/>
              </w:rPr>
              <m:t>xx</m:t>
            </m:r>
          </m:sub>
        </m:sSub>
      </m:oMath>
      <w:r>
        <w:t xml:space="preserve"> and </w:t>
      </w:r>
      <m:oMath>
        <m:sSub>
          <m:sSubPr>
            <m:ctrlPr>
              <w:rPr>
                <w:rFonts w:ascii="Cambria Math" w:hAnsi="Cambria Math"/>
              </w:rPr>
            </m:ctrlPr>
          </m:sSubPr>
          <m:e>
            <m:r>
              <m:rPr>
                <m:sty m:val="b"/>
              </m:rPr>
              <w:rPr>
                <w:rFonts w:ascii="Cambria Math" w:hAnsi="Cambria Math"/>
              </w:rPr>
              <m:t>Σ</m:t>
            </m:r>
          </m:e>
          <m:sub>
            <m:r>
              <w:rPr>
                <w:rFonts w:ascii="Cambria Math" w:hAnsi="Cambria Math"/>
              </w:rPr>
              <m:t>yy</m:t>
            </m:r>
          </m:sub>
        </m:sSub>
      </m:oMath>
      <w:r>
        <w:t xml:space="preserve"> are the variance-covariance matrices of </w:t>
      </w:r>
      <m:oMath>
        <m:r>
          <m:rPr>
            <m:sty m:val="b"/>
          </m:rPr>
          <w:rPr>
            <w:rFonts w:ascii="Cambria Math" w:hAnsi="Cambria Math"/>
          </w:rPr>
          <m:t>x</m:t>
        </m:r>
      </m:oMath>
      <w:r>
        <w:t xml:space="preserve"> and </w:t>
      </w:r>
      <m:oMath>
        <m:r>
          <m:rPr>
            <m:sty m:val="b"/>
          </m:rPr>
          <w:rPr>
            <w:rFonts w:ascii="Cambria Math" w:hAnsi="Cambria Math"/>
          </w:rPr>
          <m:t>y</m:t>
        </m:r>
      </m:oMath>
      <w:r>
        <w:t xml:space="preserve">, respectively, </w:t>
      </w:r>
      <m:oMath>
        <m:sSub>
          <m:sSubPr>
            <m:ctrlPr>
              <w:rPr>
                <w:rFonts w:ascii="Cambria Math" w:hAnsi="Cambria Math"/>
              </w:rPr>
            </m:ctrlPr>
          </m:sSubPr>
          <m:e>
            <m:r>
              <m:rPr>
                <m:sty m:val="b"/>
              </m:rPr>
              <w:rPr>
                <w:rFonts w:ascii="Cambria Math" w:hAnsi="Cambria Math"/>
              </w:rPr>
              <m:t>Σ</m:t>
            </m:r>
          </m:e>
          <m:sub>
            <m:r>
              <w:rPr>
                <w:rFonts w:ascii="Cambria Math" w:hAnsi="Cambria Math"/>
              </w:rPr>
              <m:t>xy</m:t>
            </m:r>
          </m:sub>
        </m:sSub>
      </m:oMath>
      <w:r>
        <w:t xml:space="preserve"> is the covariance between </w:t>
      </w:r>
      <m:oMath>
        <m:r>
          <m:rPr>
            <m:sty m:val="b"/>
          </m:rPr>
          <w:rPr>
            <w:rFonts w:ascii="Cambria Math" w:hAnsi="Cambria Math"/>
          </w:rPr>
          <m:t>x</m:t>
        </m:r>
      </m:oMath>
      <w:r>
        <w:t xml:space="preserve"> and </w:t>
      </w:r>
      <m:oMath>
        <m:r>
          <m:rPr>
            <m:sty m:val="b"/>
          </m:rPr>
          <w:rPr>
            <w:rFonts w:ascii="Cambria Math" w:hAnsi="Cambria Math"/>
          </w:rPr>
          <m:t>y</m:t>
        </m:r>
      </m:oMath>
      <w:r>
        <w:t xml:space="preserve"> and </w:t>
      </w:r>
      <m:oMath>
        <m:sSub>
          <m:sSubPr>
            <m:ctrlPr>
              <w:rPr>
                <w:rFonts w:ascii="Cambria Math" w:hAnsi="Cambria Math"/>
              </w:rPr>
            </m:ctrlPr>
          </m:sSubPr>
          <m:e>
            <m:r>
              <m:rPr>
                <m:sty m:val="b"/>
              </m:rPr>
              <w:rPr>
                <w:rFonts w:ascii="Cambria Math" w:hAnsi="Cambria Math"/>
              </w:rPr>
              <m:t>μ</m:t>
            </m:r>
          </m:e>
          <m:sub>
            <m:r>
              <w:rPr>
                <w:rFonts w:ascii="Cambria Math" w:hAnsi="Cambria Math"/>
              </w:rPr>
              <m:t>x</m:t>
            </m:r>
          </m:sub>
        </m:sSub>
      </m:oMath>
      <w:r>
        <w:t xml:space="preserve"> and </w:t>
      </w:r>
      <m:oMath>
        <m:sSub>
          <m:sSubPr>
            <m:ctrlPr>
              <w:rPr>
                <w:rFonts w:ascii="Cambria Math" w:hAnsi="Cambria Math"/>
              </w:rPr>
            </m:ctrlPr>
          </m:sSubPr>
          <m:e>
            <m:r>
              <m:rPr>
                <m:sty m:val="b"/>
              </m:rPr>
              <w:rPr>
                <w:rFonts w:ascii="Cambria Math" w:hAnsi="Cambria Math"/>
              </w:rPr>
              <m:t>μ</m:t>
            </m:r>
          </m:e>
          <m:sub>
            <m:r>
              <w:rPr>
                <w:rFonts w:ascii="Cambria Math" w:hAnsi="Cambria Math"/>
              </w:rPr>
              <m:t>y</m:t>
            </m:r>
          </m:sub>
        </m:sSub>
      </m:oMath>
      <w:r>
        <w:t xml:space="preserve"> are mean vectors of </w:t>
      </w:r>
      <m:oMath>
        <m:r>
          <m:rPr>
            <m:sty m:val="b"/>
          </m:rPr>
          <w:rPr>
            <w:rFonts w:ascii="Cambria Math" w:hAnsi="Cambria Math"/>
          </w:rPr>
          <m:t>x</m:t>
        </m:r>
      </m:oMath>
      <w:r>
        <w:t xml:space="preserve"> and </w:t>
      </w:r>
      <m:oMath>
        <m:r>
          <m:rPr>
            <m:sty m:val="b"/>
          </m:rPr>
          <w:rPr>
            <w:rFonts w:ascii="Cambria Math" w:hAnsi="Cambria Math"/>
          </w:rPr>
          <m:t>y</m:t>
        </m:r>
      </m:oMath>
      <w:r>
        <w:t>, respectively. A linear model based on (1) is,</w:t>
      </w:r>
    </w:p>
    <w:p w:rsidR="0096095D" w:rsidRDefault="00CF708D">
      <w:pPr>
        <w:pStyle w:val="BodyText"/>
      </w:pPr>
      <m:oMathPara>
        <m:oMathParaPr>
          <m:jc m:val="center"/>
        </m:oMathParaPr>
        <m:oMath>
          <m:r>
            <m:rPr>
              <m:sty m:val="b"/>
            </m:rPr>
            <w:rPr>
              <w:rFonts w:ascii="Cambria Math" w:hAnsi="Cambria Math"/>
            </w:rPr>
            <m:t>y</m:t>
          </m:r>
          <m:r>
            <w:rPr>
              <w:rFonts w:ascii="Cambria Math" w:hAnsi="Cambria Math"/>
            </w:rPr>
            <m:t>=</m:t>
          </m:r>
          <m:sSub>
            <m:sSubPr>
              <m:ctrlPr>
                <w:rPr>
                  <w:rFonts w:ascii="Cambria Math" w:hAnsi="Cambria Math"/>
                </w:rPr>
              </m:ctrlPr>
            </m:sSubPr>
            <m:e>
              <m:r>
                <m:rPr>
                  <m:sty m:val="b"/>
                </m:rPr>
                <w:rPr>
                  <w:rFonts w:ascii="Cambria Math" w:hAnsi="Cambria Math"/>
                </w:rPr>
                <m:t>μ</m:t>
              </m:r>
            </m:e>
            <m:sub>
              <m:r>
                <w:rPr>
                  <w:rFonts w:ascii="Cambria Math" w:hAnsi="Cambria Math"/>
                </w:rPr>
                <m:t>y</m:t>
              </m:r>
            </m:sub>
          </m:sSub>
          <m:r>
            <w:rPr>
              <w:rFonts w:ascii="Cambria Math" w:hAnsi="Cambria Math"/>
            </w:rPr>
            <m:t>+</m:t>
          </m:r>
          <m:sSup>
            <m:sSupPr>
              <m:ctrlPr>
                <w:rPr>
                  <w:rFonts w:ascii="Cambria Math" w:hAnsi="Cambria Math"/>
                </w:rPr>
              </m:ctrlPr>
            </m:sSupPr>
            <m:e>
              <m:r>
                <m:rPr>
                  <m:sty m:val="b"/>
                </m:rPr>
                <w:rPr>
                  <w:rFonts w:ascii="Cambria Math" w:hAnsi="Cambria Math"/>
                </w:rPr>
                <m:t>β</m:t>
              </m:r>
            </m:e>
            <m:sup>
              <m:r>
                <w:rPr>
                  <w:rFonts w:ascii="Cambria Math" w:hAnsi="Cambria Math"/>
                </w:rPr>
                <m:t>t</m:t>
              </m:r>
            </m:sup>
          </m:sSup>
          <m:r>
            <w:rPr>
              <w:rFonts w:ascii="Cambria Math" w:hAnsi="Cambria Math"/>
            </w:rPr>
            <m:t>(</m:t>
          </m:r>
          <m:r>
            <m:rPr>
              <m:sty m:val="b"/>
            </m:rPr>
            <w:rPr>
              <w:rFonts w:ascii="Cambria Math" w:hAnsi="Cambria Math"/>
            </w:rPr>
            <m:t>x</m:t>
          </m:r>
          <m:r>
            <w:rPr>
              <w:rFonts w:ascii="Cambria Math" w:hAnsi="Cambria Math"/>
            </w:rPr>
            <m:t>-</m:t>
          </m:r>
          <m:sSub>
            <m:sSubPr>
              <m:ctrlPr>
                <w:rPr>
                  <w:rFonts w:ascii="Cambria Math" w:hAnsi="Cambria Math"/>
                </w:rPr>
              </m:ctrlPr>
            </m:sSubPr>
            <m:e>
              <m:r>
                <m:rPr>
                  <m:sty m:val="b"/>
                </m:rPr>
                <w:rPr>
                  <w:rFonts w:ascii="Cambria Math" w:hAnsi="Cambria Math"/>
                </w:rPr>
                <m:t>μ</m:t>
              </m:r>
            </m:e>
            <m:sub>
              <m:r>
                <m:rPr>
                  <m:sty m:val="b"/>
                </m:rPr>
                <w:rPr>
                  <w:rFonts w:ascii="Cambria Math" w:hAnsi="Cambria Math"/>
                </w:rPr>
                <m:t>x</m:t>
              </m:r>
            </m:sub>
          </m:sSub>
          <m:r>
            <w:rPr>
              <w:rFonts w:ascii="Cambria Math" w:hAnsi="Cambria Math"/>
            </w:rPr>
            <m:t>)+</m:t>
          </m:r>
          <m:r>
            <m:rPr>
              <m:sty m:val="b"/>
            </m:rPr>
            <w:rPr>
              <w:rFonts w:ascii="Cambria Math" w:hAnsi="Cambria Math"/>
            </w:rPr>
            <m:t>ϵ</m:t>
          </m:r>
          <m:r>
            <w:rPr>
              <w:rFonts w:ascii="Cambria Math" w:hAnsi="Cambria Math"/>
            </w:rPr>
            <m:t>  (2)</m:t>
          </m:r>
        </m:oMath>
      </m:oMathPara>
    </w:p>
    <w:p w:rsidR="0096095D" w:rsidRDefault="00CF708D">
      <w:pPr>
        <w:pStyle w:val="FirstParagraph"/>
      </w:pPr>
      <w:r>
        <w:t xml:space="preserve">where, </w:t>
      </w:r>
      <m:oMath>
        <m:limLow>
          <m:limLowPr>
            <m:ctrlPr>
              <w:rPr>
                <w:rFonts w:ascii="Cambria Math" w:hAnsi="Cambria Math"/>
              </w:rPr>
            </m:ctrlPr>
          </m:limLowPr>
          <m:e>
            <m:sSup>
              <m:sSupPr>
                <m:ctrlPr>
                  <w:rPr>
                    <w:rFonts w:ascii="Cambria Math" w:hAnsi="Cambria Math"/>
                  </w:rPr>
                </m:ctrlPr>
              </m:sSupPr>
              <m:e>
                <m:r>
                  <m:rPr>
                    <m:sty m:val="b"/>
                  </m:rPr>
                  <w:rPr>
                    <w:rFonts w:ascii="Cambria Math" w:hAnsi="Cambria Math"/>
                  </w:rPr>
                  <m:t>β</m:t>
                </m:r>
              </m:e>
              <m:sup>
                <m:r>
                  <w:rPr>
                    <w:rFonts w:ascii="Cambria Math" w:hAnsi="Cambria Math"/>
                  </w:rPr>
                  <m:t>t</m:t>
                </m:r>
              </m:sup>
            </m:sSup>
          </m:e>
          <m:lim>
            <m:r>
              <w:rPr>
                <w:rFonts w:ascii="Cambria Math" w:hAnsi="Cambria Math"/>
              </w:rPr>
              <m:t>m×p</m:t>
            </m:r>
          </m:lim>
        </m:limLow>
      </m:oMath>
      <w:r>
        <w:t xml:space="preserve"> is a matrix of regression coefficients and </w:t>
      </w:r>
      <m:oMath>
        <m:r>
          <m:rPr>
            <m:sty m:val="b"/>
          </m:rPr>
          <w:rPr>
            <w:rFonts w:ascii="Cambria Math" w:hAnsi="Cambria Math"/>
          </w:rPr>
          <m:t>ϵ</m:t>
        </m:r>
      </m:oMath>
      <w:r>
        <w:t xml:space="preserve"> is an error term such that </w:t>
      </w:r>
      <m:oMath>
        <m:r>
          <m:rPr>
            <m:sty m:val="b"/>
          </m:rPr>
          <w:rPr>
            <w:rFonts w:ascii="Cambria Math" w:hAnsi="Cambria Math"/>
          </w:rPr>
          <m:t>ϵ</m:t>
        </m:r>
        <m:r>
          <w:rPr>
            <w:rFonts w:ascii="Cambria Math" w:hAnsi="Cambria Math"/>
          </w:rPr>
          <m:t>∼</m:t>
        </m:r>
        <m:r>
          <m:rPr>
            <m:scr m:val="script"/>
            <m:sty m:val="p"/>
          </m:rPr>
          <w:rPr>
            <w:rFonts w:ascii="Cambria Math" w:hAnsi="Cambria Math"/>
          </w:rPr>
          <m:t>N</m:t>
        </m:r>
        <m:r>
          <w:rPr>
            <w:rFonts w:ascii="Cambria Math" w:hAnsi="Cambria Math"/>
          </w:rPr>
          <m:t>(0,</m:t>
        </m:r>
        <m:sSub>
          <m:sSubPr>
            <m:ctrlPr>
              <w:rPr>
                <w:rFonts w:ascii="Cambria Math" w:hAnsi="Cambria Math"/>
              </w:rPr>
            </m:ctrlPr>
          </m:sSubPr>
          <m:e>
            <m:r>
              <m:rPr>
                <m:sty m:val="b"/>
              </m:rPr>
              <w:rPr>
                <w:rFonts w:ascii="Cambria Math" w:hAnsi="Cambria Math"/>
              </w:rPr>
              <m:t>Σ</m:t>
            </m:r>
          </m:e>
          <m:sub>
            <m:r>
              <w:rPr>
                <w:rFonts w:ascii="Cambria Math" w:hAnsi="Cambria Math"/>
              </w:rPr>
              <m:t>y|x</m:t>
            </m:r>
          </m:sub>
        </m:sSub>
        <m:r>
          <w:rPr>
            <w:rFonts w:ascii="Cambria Math" w:hAnsi="Cambria Math"/>
          </w:rPr>
          <m:t>)</m:t>
        </m:r>
      </m:oMath>
      <w:r>
        <w:t xml:space="preserve">. Here, </w:t>
      </w:r>
      <m:oMath>
        <m:sSup>
          <m:sSupPr>
            <m:ctrlPr>
              <w:rPr>
                <w:rFonts w:ascii="Cambria Math" w:hAnsi="Cambria Math"/>
              </w:rPr>
            </m:ctrlPr>
          </m:sSupPr>
          <m:e>
            <m:r>
              <m:rPr>
                <m:sty m:val="b"/>
              </m:rPr>
              <w:rPr>
                <w:rFonts w:ascii="Cambria Math" w:hAnsi="Cambria Math"/>
              </w:rPr>
              <m:t>β</m:t>
            </m:r>
          </m:e>
          <m:sup>
            <m:r>
              <w:rPr>
                <w:rFonts w:ascii="Cambria Math" w:hAnsi="Cambria Math"/>
              </w:rPr>
              <m:t>t</m:t>
            </m:r>
          </m:sup>
        </m:sSup>
        <m:r>
          <w:rPr>
            <w:rFonts w:ascii="Cambria Math" w:hAnsi="Cambria Math"/>
          </w:rPr>
          <m:t>=</m:t>
        </m:r>
        <m:sSub>
          <m:sSubPr>
            <m:ctrlPr>
              <w:rPr>
                <w:rFonts w:ascii="Cambria Math" w:hAnsi="Cambria Math"/>
              </w:rPr>
            </m:ctrlPr>
          </m:sSubPr>
          <m:e>
            <m:r>
              <m:rPr>
                <m:sty m:val="b"/>
              </m:rPr>
              <w:rPr>
                <w:rFonts w:ascii="Cambria Math" w:hAnsi="Cambria Math"/>
              </w:rPr>
              <m:t>Σ</m:t>
            </m:r>
          </m:e>
          <m:sub>
            <m:r>
              <w:rPr>
                <w:rFonts w:ascii="Cambria Math" w:hAnsi="Cambria Math"/>
              </w:rPr>
              <m:t>yx</m:t>
            </m:r>
          </m:sub>
        </m:sSub>
        <m:sSubSup>
          <m:sSubSupPr>
            <m:ctrlPr>
              <w:rPr>
                <w:rFonts w:ascii="Cambria Math" w:hAnsi="Cambria Math"/>
              </w:rPr>
            </m:ctrlPr>
          </m:sSubSupPr>
          <m:e>
            <m:r>
              <m:rPr>
                <m:sty m:val="b"/>
              </m:rPr>
              <w:rPr>
                <w:rFonts w:ascii="Cambria Math" w:hAnsi="Cambria Math"/>
              </w:rPr>
              <m:t>Σ</m:t>
            </m:r>
          </m:e>
          <m:sub>
            <m:r>
              <w:rPr>
                <w:rFonts w:ascii="Cambria Math" w:hAnsi="Cambria Math"/>
              </w:rPr>
              <m:t>xx</m:t>
            </m:r>
          </m:sub>
          <m:sup>
            <m:r>
              <w:rPr>
                <w:rFonts w:ascii="Cambria Math" w:hAnsi="Cambria Math"/>
              </w:rPr>
              <m:t>-1</m:t>
            </m:r>
          </m:sup>
        </m:sSubSup>
      </m:oMath>
      <w:r>
        <w:t xml:space="preserve"> and </w:t>
      </w:r>
      <m:oMath>
        <m:sSub>
          <m:sSubPr>
            <m:ctrlPr>
              <w:rPr>
                <w:rFonts w:ascii="Cambria Math" w:hAnsi="Cambria Math"/>
              </w:rPr>
            </m:ctrlPr>
          </m:sSubPr>
          <m:e>
            <m:r>
              <m:rPr>
                <m:sty m:val="b"/>
              </m:rPr>
              <w:rPr>
                <w:rFonts w:ascii="Cambria Math" w:hAnsi="Cambria Math"/>
              </w:rPr>
              <m:t>Σ</m:t>
            </m:r>
          </m:e>
          <m:sub>
            <m:r>
              <w:rPr>
                <w:rFonts w:ascii="Cambria Math" w:hAnsi="Cambria Math"/>
              </w:rPr>
              <m:t>y|x</m:t>
            </m:r>
          </m:sub>
        </m:sSub>
        <m:r>
          <w:rPr>
            <w:rFonts w:ascii="Cambria Math" w:hAnsi="Cambria Math"/>
          </w:rPr>
          <m:t>=</m:t>
        </m:r>
        <m:sSub>
          <m:sSubPr>
            <m:ctrlPr>
              <w:rPr>
                <w:rFonts w:ascii="Cambria Math" w:hAnsi="Cambria Math"/>
              </w:rPr>
            </m:ctrlPr>
          </m:sSubPr>
          <m:e>
            <m:r>
              <m:rPr>
                <m:sty m:val="b"/>
              </m:rPr>
              <w:rPr>
                <w:rFonts w:ascii="Cambria Math" w:hAnsi="Cambria Math"/>
              </w:rPr>
              <m:t>Σ</m:t>
            </m:r>
          </m:e>
          <m:sub>
            <m:r>
              <w:rPr>
                <w:rFonts w:ascii="Cambria Math" w:hAnsi="Cambria Math"/>
              </w:rPr>
              <m:t>yy</m:t>
            </m:r>
          </m:sub>
        </m:sSub>
        <m:r>
          <w:rPr>
            <w:rFonts w:ascii="Cambria Math" w:hAnsi="Cambria Math"/>
          </w:rPr>
          <m:t>-</m:t>
        </m:r>
        <m:sSub>
          <m:sSubPr>
            <m:ctrlPr>
              <w:rPr>
                <w:rFonts w:ascii="Cambria Math" w:hAnsi="Cambria Math"/>
              </w:rPr>
            </m:ctrlPr>
          </m:sSubPr>
          <m:e>
            <m:r>
              <m:rPr>
                <m:sty m:val="b"/>
              </m:rPr>
              <w:rPr>
                <w:rFonts w:ascii="Cambria Math" w:hAnsi="Cambria Math"/>
              </w:rPr>
              <m:t>Σ</m:t>
            </m:r>
          </m:e>
          <m:sub>
            <m:r>
              <w:rPr>
                <w:rFonts w:ascii="Cambria Math" w:hAnsi="Cambria Math"/>
              </w:rPr>
              <m:t>yx</m:t>
            </m:r>
          </m:sub>
        </m:sSub>
        <m:sSubSup>
          <m:sSubSupPr>
            <m:ctrlPr>
              <w:rPr>
                <w:rFonts w:ascii="Cambria Math" w:hAnsi="Cambria Math"/>
              </w:rPr>
            </m:ctrlPr>
          </m:sSubSupPr>
          <m:e>
            <m:r>
              <m:rPr>
                <m:sty m:val="b"/>
              </m:rPr>
              <w:rPr>
                <w:rFonts w:ascii="Cambria Math" w:hAnsi="Cambria Math"/>
              </w:rPr>
              <m:t>Σ</m:t>
            </m:r>
          </m:e>
          <m:sub>
            <m:r>
              <w:rPr>
                <w:rFonts w:ascii="Cambria Math" w:hAnsi="Cambria Math"/>
              </w:rPr>
              <m:t>xx</m:t>
            </m:r>
          </m:sub>
          <m:sup>
            <m:r>
              <w:rPr>
                <w:rFonts w:ascii="Cambria Math" w:hAnsi="Cambria Math"/>
              </w:rPr>
              <m:t>-1</m:t>
            </m:r>
          </m:sup>
        </m:sSubSup>
        <m:sSub>
          <m:sSubPr>
            <m:ctrlPr>
              <w:rPr>
                <w:rFonts w:ascii="Cambria Math" w:hAnsi="Cambria Math"/>
              </w:rPr>
            </m:ctrlPr>
          </m:sSubPr>
          <m:e>
            <m:r>
              <m:rPr>
                <m:sty m:val="b"/>
              </m:rPr>
              <w:rPr>
                <w:rFonts w:ascii="Cambria Math" w:hAnsi="Cambria Math"/>
              </w:rPr>
              <m:t>Σ</m:t>
            </m:r>
          </m:e>
          <m:sub>
            <m:r>
              <w:rPr>
                <w:rFonts w:ascii="Cambria Math" w:hAnsi="Cambria Math"/>
              </w:rPr>
              <m:t>xy</m:t>
            </m:r>
          </m:sub>
        </m:sSub>
      </m:oMath>
    </w:p>
    <w:p w:rsidR="0096095D" w:rsidRDefault="00CF708D">
      <w:pPr>
        <w:pStyle w:val="BodyText"/>
      </w:pPr>
      <w:r>
        <w:t xml:space="preserve">In a model like (2), we assume that the variation in response </w:t>
      </w:r>
      <m:oMath>
        <m:r>
          <m:rPr>
            <m:sty m:val="b"/>
          </m:rPr>
          <w:rPr>
            <w:rFonts w:ascii="Cambria Math" w:hAnsi="Cambria Math"/>
          </w:rPr>
          <m:t>y</m:t>
        </m:r>
      </m:oMath>
      <w:r>
        <w:t xml:space="preserve"> is partly explained by the predictor </w:t>
      </w:r>
      <m:oMath>
        <m:r>
          <m:rPr>
            <m:sty m:val="b"/>
          </m:rPr>
          <w:rPr>
            <w:rFonts w:ascii="Cambria Math" w:hAnsi="Cambria Math"/>
          </w:rPr>
          <m:t>x</m:t>
        </m:r>
      </m:oMath>
      <w:r>
        <w:t xml:space="preserve">. However, in many situations, only a subspace of the predictor space is relevant for the variation in the response </w:t>
      </w:r>
      <m:oMath>
        <m:r>
          <m:rPr>
            <m:sty m:val="b"/>
          </m:rPr>
          <w:rPr>
            <w:rFonts w:ascii="Cambria Math" w:hAnsi="Cambria Math"/>
          </w:rPr>
          <m:t>y</m:t>
        </m:r>
      </m:oMath>
      <w:r>
        <w:t xml:space="preserve">. This space can be referred to as the relevant space of </w:t>
      </w:r>
      <m:oMath>
        <m:r>
          <m:rPr>
            <m:sty m:val="b"/>
          </m:rPr>
          <w:rPr>
            <w:rFonts w:ascii="Cambria Math" w:hAnsi="Cambria Math"/>
          </w:rPr>
          <m:t>x</m:t>
        </m:r>
      </m:oMath>
      <w:r>
        <w:t xml:space="preserve"> and the rest as irrelevant space. In the similar way, for a certain model, we can assume that a subspace in the response space exists which contains the information that the relevant space in predictor can explain (Figure-1). R Dennis Cook, Li, and Chiaromonte (</w:t>
      </w:r>
      <w:hyperlink w:anchor="ref-cook2010envelope">
        <w:r>
          <w:rPr>
            <w:rStyle w:val="Hyperlink"/>
          </w:rPr>
          <w:t>2010</w:t>
        </w:r>
      </w:hyperlink>
      <w:r>
        <w:t>) and R. Dennis Cook and Zhang (</w:t>
      </w:r>
      <w:hyperlink w:anchor="ref-cook2015simultaneous">
        <w:r>
          <w:rPr>
            <w:rStyle w:val="Hyperlink"/>
          </w:rPr>
          <w:t>2015</w:t>
        </w:r>
      </w:hyperlink>
      <w:r>
        <w:t>) have referred to the relevant space as material space, and the irrelevant space as immaterial space.</w:t>
      </w:r>
    </w:p>
    <w:p w:rsidR="0096095D" w:rsidRDefault="00CF708D">
      <w:pPr>
        <w:pStyle w:val="FigurewithCaption"/>
      </w:pPr>
      <w:r>
        <w:rPr>
          <w:noProof/>
        </w:rPr>
        <w:lastRenderedPageBreak/>
        <w:drawing>
          <wp:inline distT="0" distB="0" distL="0" distR="0">
            <wp:extent cx="4620126" cy="3234088"/>
            <wp:effectExtent l="0" t="0" r="0" b="0"/>
            <wp:docPr id="1" name="Picture" descr="Figure 1 Relevant space in a regression model"/>
            <wp:cNvGraphicFramePr/>
            <a:graphic xmlns:a="http://schemas.openxmlformats.org/drawingml/2006/main">
              <a:graphicData uri="http://schemas.openxmlformats.org/drawingml/2006/picture">
                <pic:pic xmlns:pic="http://schemas.openxmlformats.org/drawingml/2006/picture">
                  <pic:nvPicPr>
                    <pic:cNvPr id="0" name="Picture" descr="main_files/figure-docx/relevant-space-1.png"/>
                    <pic:cNvPicPr>
                      <a:picLocks noChangeAspect="1" noChangeArrowheads="1"/>
                    </pic:cNvPicPr>
                  </pic:nvPicPr>
                  <pic:blipFill>
                    <a:blip r:embed="rId8"/>
                    <a:stretch>
                      <a:fillRect/>
                    </a:stretch>
                  </pic:blipFill>
                  <pic:spPr bwMode="auto">
                    <a:xfrm>
                      <a:off x="0" y="0"/>
                      <a:ext cx="4620126" cy="3234088"/>
                    </a:xfrm>
                    <a:prstGeom prst="rect">
                      <a:avLst/>
                    </a:prstGeom>
                    <a:noFill/>
                    <a:ln w="9525">
                      <a:noFill/>
                      <a:headEnd/>
                      <a:tailEnd/>
                    </a:ln>
                  </pic:spPr>
                </pic:pic>
              </a:graphicData>
            </a:graphic>
          </wp:inline>
        </w:drawing>
      </w:r>
    </w:p>
    <w:p w:rsidR="0096095D" w:rsidRDefault="00CF708D">
      <w:pPr>
        <w:pStyle w:val="ImageCaption"/>
      </w:pPr>
      <w:r>
        <w:t>Figure 1 Relevant space in a regression model</w:t>
      </w:r>
    </w:p>
    <w:p w:rsidR="0096095D" w:rsidRDefault="00CF708D">
      <w:pPr>
        <w:pStyle w:val="BodyText"/>
      </w:pPr>
      <w:r>
        <w:t xml:space="preserve">With an orthogonal transformation of </w:t>
      </w:r>
      <m:oMath>
        <m:r>
          <m:rPr>
            <m:sty m:val="b"/>
          </m:rPr>
          <w:rPr>
            <w:rFonts w:ascii="Cambria Math" w:hAnsi="Cambria Math"/>
          </w:rPr>
          <m:t>y</m:t>
        </m:r>
      </m:oMath>
      <w:r>
        <w:t xml:space="preserve"> and </w:t>
      </w:r>
      <m:oMath>
        <m:r>
          <m:rPr>
            <m:sty m:val="b"/>
          </m:rPr>
          <w:rPr>
            <w:rFonts w:ascii="Cambria Math" w:hAnsi="Cambria Math"/>
          </w:rPr>
          <m:t>x</m:t>
        </m:r>
      </m:oMath>
      <w:r>
        <w:t xml:space="preserve"> to latent variables </w:t>
      </w:r>
      <m:oMath>
        <m:r>
          <m:rPr>
            <m:sty m:val="b"/>
          </m:rPr>
          <w:rPr>
            <w:rFonts w:ascii="Cambria Math" w:hAnsi="Cambria Math"/>
          </w:rPr>
          <m:t>w</m:t>
        </m:r>
      </m:oMath>
      <w:r>
        <w:t xml:space="preserve"> and </w:t>
      </w:r>
      <m:oMath>
        <m:r>
          <m:rPr>
            <m:sty m:val="b"/>
          </m:rPr>
          <w:rPr>
            <w:rFonts w:ascii="Cambria Math" w:hAnsi="Cambria Math"/>
          </w:rPr>
          <m:t>z</m:t>
        </m:r>
      </m:oMath>
      <w:r>
        <w:t xml:space="preserve">, respectively, by </w:t>
      </w:r>
      <m:oMath>
        <m:r>
          <m:rPr>
            <m:sty m:val="b"/>
          </m:rPr>
          <w:rPr>
            <w:rFonts w:ascii="Cambria Math" w:hAnsi="Cambria Math"/>
          </w:rPr>
          <m:t>w=Qy</m:t>
        </m:r>
      </m:oMath>
      <w:r>
        <w:t xml:space="preserve"> and </w:t>
      </w:r>
      <m:oMath>
        <m:r>
          <m:rPr>
            <m:sty m:val="b"/>
          </m:rPr>
          <w:rPr>
            <w:rFonts w:ascii="Cambria Math" w:hAnsi="Cambria Math"/>
          </w:rPr>
          <m:t>z=Rx</m:t>
        </m:r>
      </m:oMath>
      <w:r>
        <w:t xml:space="preserve">, where </w:t>
      </w:r>
      <m:oMath>
        <m:r>
          <m:rPr>
            <m:sty m:val="b"/>
          </m:rPr>
          <w:rPr>
            <w:rFonts w:ascii="Cambria Math" w:hAnsi="Cambria Math"/>
          </w:rPr>
          <m:t>Q</m:t>
        </m:r>
      </m:oMath>
      <w:r>
        <w:t xml:space="preserve"> and </w:t>
      </w:r>
      <m:oMath>
        <m:r>
          <m:rPr>
            <m:sty m:val="b"/>
          </m:rPr>
          <w:rPr>
            <w:rFonts w:ascii="Cambria Math" w:hAnsi="Cambria Math"/>
          </w:rPr>
          <m:t>R</m:t>
        </m:r>
      </m:oMath>
      <w:r>
        <w:t xml:space="preserve"> are orthogonal rotation matrices, an equivalent model to (1) in terms of the latent variables can be written as,</w:t>
      </w:r>
    </w:p>
    <w:p w:rsidR="0096095D" w:rsidRDefault="002E0E1D">
      <w:pPr>
        <w:pStyle w:val="BodyText"/>
      </w:pPr>
      <m:oMathPara>
        <m:oMathParaPr>
          <m:jc m:val="center"/>
        </m:oMathParaPr>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m:rPr>
                        <m:sty m:val="b"/>
                      </m:rPr>
                      <w:rPr>
                        <w:rFonts w:ascii="Cambria Math" w:hAnsi="Cambria Math"/>
                      </w:rPr>
                      <m:t>w</m:t>
                    </m:r>
                  </m:e>
                </m:mr>
                <m:mr>
                  <m:e>
                    <m:r>
                      <m:rPr>
                        <m:sty m:val="b"/>
                      </m:rPr>
                      <w:rPr>
                        <w:rFonts w:ascii="Cambria Math" w:hAnsi="Cambria Math"/>
                      </w:rPr>
                      <m:t>z</m:t>
                    </m:r>
                  </m:e>
                </m:mr>
              </m:m>
            </m:e>
          </m:d>
          <m:r>
            <w:rPr>
              <w:rFonts w:ascii="Cambria Math" w:hAnsi="Cambria Math"/>
            </w:rPr>
            <m:t>∼</m:t>
          </m:r>
          <m:r>
            <m:rPr>
              <m:scr m:val="script"/>
              <m:sty m:val="p"/>
            </m:rPr>
            <w:rPr>
              <w:rFonts w:ascii="Cambria Math" w:hAnsi="Cambria Math"/>
            </w:rPr>
            <m:t>N</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m:rPr>
                                <m:sty m:val="b"/>
                              </m:rPr>
                              <w:rPr>
                                <w:rFonts w:ascii="Cambria Math" w:hAnsi="Cambria Math"/>
                              </w:rPr>
                              <m:t>μ</m:t>
                            </m:r>
                          </m:e>
                          <m:sub>
                            <m:r>
                              <w:rPr>
                                <w:rFonts w:ascii="Cambria Math" w:hAnsi="Cambria Math"/>
                              </w:rPr>
                              <m:t>w</m:t>
                            </m:r>
                          </m:sub>
                        </m:sSub>
                      </m:e>
                    </m:mr>
                    <m:mr>
                      <m:e>
                        <m:sSub>
                          <m:sSubPr>
                            <m:ctrlPr>
                              <w:rPr>
                                <w:rFonts w:ascii="Cambria Math" w:hAnsi="Cambria Math"/>
                              </w:rPr>
                            </m:ctrlPr>
                          </m:sSubPr>
                          <m:e>
                            <m:r>
                              <m:rPr>
                                <m:sty m:val="b"/>
                              </m:rPr>
                              <w:rPr>
                                <w:rFonts w:ascii="Cambria Math" w:hAnsi="Cambria Math"/>
                              </w:rPr>
                              <m:t>μ</m:t>
                            </m:r>
                          </m:e>
                          <m:sub>
                            <m:r>
                              <w:rPr>
                                <w:rFonts w:ascii="Cambria Math" w:hAnsi="Cambria Math"/>
                              </w:rPr>
                              <m:t>z</m:t>
                            </m:r>
                          </m:sub>
                        </m:sSub>
                      </m:e>
                    </m:mr>
                  </m:m>
                </m:e>
              </m:d>
              <m: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m:rPr>
                                <m:sty m:val="b"/>
                              </m:rPr>
                              <w:rPr>
                                <w:rFonts w:ascii="Cambria Math" w:hAnsi="Cambria Math"/>
                              </w:rPr>
                              <m:t>Σ</m:t>
                            </m:r>
                          </m:e>
                          <m:sub>
                            <m:r>
                              <w:rPr>
                                <w:rFonts w:ascii="Cambria Math" w:hAnsi="Cambria Math"/>
                              </w:rPr>
                              <m:t>ww</m:t>
                            </m:r>
                          </m:sub>
                        </m:sSub>
                      </m:e>
                      <m:e>
                        <m:sSub>
                          <m:sSubPr>
                            <m:ctrlPr>
                              <w:rPr>
                                <w:rFonts w:ascii="Cambria Math" w:hAnsi="Cambria Math"/>
                              </w:rPr>
                            </m:ctrlPr>
                          </m:sSubPr>
                          <m:e>
                            <m:r>
                              <m:rPr>
                                <m:sty m:val="b"/>
                              </m:rPr>
                              <w:rPr>
                                <w:rFonts w:ascii="Cambria Math" w:hAnsi="Cambria Math"/>
                              </w:rPr>
                              <m:t>Σ</m:t>
                            </m:r>
                          </m:e>
                          <m:sub>
                            <m:r>
                              <w:rPr>
                                <w:rFonts w:ascii="Cambria Math" w:hAnsi="Cambria Math"/>
                              </w:rPr>
                              <m:t>wz</m:t>
                            </m:r>
                          </m:sub>
                        </m:sSub>
                      </m:e>
                    </m:mr>
                    <m:mr>
                      <m:e>
                        <m:sSub>
                          <m:sSubPr>
                            <m:ctrlPr>
                              <w:rPr>
                                <w:rFonts w:ascii="Cambria Math" w:hAnsi="Cambria Math"/>
                              </w:rPr>
                            </m:ctrlPr>
                          </m:sSubPr>
                          <m:e>
                            <m:r>
                              <m:rPr>
                                <m:sty m:val="b"/>
                              </m:rPr>
                              <w:rPr>
                                <w:rFonts w:ascii="Cambria Math" w:hAnsi="Cambria Math"/>
                              </w:rPr>
                              <m:t>Σ</m:t>
                            </m:r>
                          </m:e>
                          <m:sub>
                            <m:r>
                              <w:rPr>
                                <w:rFonts w:ascii="Cambria Math" w:hAnsi="Cambria Math"/>
                              </w:rPr>
                              <m:t>zw</m:t>
                            </m:r>
                          </m:sub>
                        </m:sSub>
                      </m:e>
                      <m:e>
                        <m:sSub>
                          <m:sSubPr>
                            <m:ctrlPr>
                              <w:rPr>
                                <w:rFonts w:ascii="Cambria Math" w:hAnsi="Cambria Math"/>
                              </w:rPr>
                            </m:ctrlPr>
                          </m:sSubPr>
                          <m:e>
                            <m:r>
                              <m:rPr>
                                <m:sty m:val="b"/>
                              </m:rPr>
                              <w:rPr>
                                <w:rFonts w:ascii="Cambria Math" w:hAnsi="Cambria Math"/>
                              </w:rPr>
                              <m:t>Σ</m:t>
                            </m:r>
                          </m:e>
                          <m:sub>
                            <m:r>
                              <w:rPr>
                                <w:rFonts w:ascii="Cambria Math" w:hAnsi="Cambria Math"/>
                              </w:rPr>
                              <m:t>zz</m:t>
                            </m:r>
                          </m:sub>
                        </m:sSub>
                      </m:e>
                    </m:mr>
                  </m:m>
                </m:e>
              </m:d>
            </m:e>
          </m:d>
          <m:r>
            <w:rPr>
              <w:rFonts w:ascii="Cambria Math" w:hAnsi="Cambria Math"/>
            </w:rPr>
            <m:t>  (3)</m:t>
          </m:r>
        </m:oMath>
      </m:oMathPara>
    </w:p>
    <w:p w:rsidR="0096095D" w:rsidRDefault="00CF708D">
      <w:pPr>
        <w:pStyle w:val="FirstParagraph"/>
      </w:pPr>
      <w:r>
        <w:t xml:space="preserve">where, </w:t>
      </w:r>
      <m:oMath>
        <m:sSub>
          <m:sSubPr>
            <m:ctrlPr>
              <w:rPr>
                <w:rFonts w:ascii="Cambria Math" w:hAnsi="Cambria Math"/>
              </w:rPr>
            </m:ctrlPr>
          </m:sSubPr>
          <m:e>
            <m:r>
              <m:rPr>
                <m:sty m:val="b"/>
              </m:rPr>
              <w:rPr>
                <w:rFonts w:ascii="Cambria Math" w:hAnsi="Cambria Math"/>
              </w:rPr>
              <m:t>Σ</m:t>
            </m:r>
          </m:e>
          <m:sub>
            <m:r>
              <w:rPr>
                <w:rFonts w:ascii="Cambria Math" w:hAnsi="Cambria Math"/>
              </w:rPr>
              <m:t>ww</m:t>
            </m:r>
          </m:sub>
        </m:sSub>
      </m:oMath>
      <w:r>
        <w:t xml:space="preserve"> and </w:t>
      </w:r>
      <m:oMath>
        <m:sSub>
          <m:sSubPr>
            <m:ctrlPr>
              <w:rPr>
                <w:rFonts w:ascii="Cambria Math" w:hAnsi="Cambria Math"/>
              </w:rPr>
            </m:ctrlPr>
          </m:sSubPr>
          <m:e>
            <m:r>
              <m:rPr>
                <m:sty m:val="b"/>
              </m:rPr>
              <w:rPr>
                <w:rFonts w:ascii="Cambria Math" w:hAnsi="Cambria Math"/>
              </w:rPr>
              <m:t>Σ</m:t>
            </m:r>
          </m:e>
          <m:sub>
            <m:r>
              <w:rPr>
                <w:rFonts w:ascii="Cambria Math" w:hAnsi="Cambria Math"/>
              </w:rPr>
              <m:t>zz</m:t>
            </m:r>
          </m:sub>
        </m:sSub>
      </m:oMath>
      <w:r>
        <w:t xml:space="preserve"> are the variance-covariance matrices of </w:t>
      </w:r>
      <m:oMath>
        <m:r>
          <m:rPr>
            <m:sty m:val="b"/>
          </m:rPr>
          <w:rPr>
            <w:rFonts w:ascii="Cambria Math" w:hAnsi="Cambria Math"/>
          </w:rPr>
          <m:t>w</m:t>
        </m:r>
      </m:oMath>
      <w:r>
        <w:t xml:space="preserve"> and </w:t>
      </w:r>
      <m:oMath>
        <m:r>
          <m:rPr>
            <m:sty m:val="b"/>
          </m:rPr>
          <w:rPr>
            <w:rFonts w:ascii="Cambria Math" w:hAnsi="Cambria Math"/>
          </w:rPr>
          <m:t>z</m:t>
        </m:r>
      </m:oMath>
      <w:r>
        <w:t xml:space="preserve">, respectively. </w:t>
      </w:r>
      <m:oMath>
        <m:sSub>
          <m:sSubPr>
            <m:ctrlPr>
              <w:rPr>
                <w:rFonts w:ascii="Cambria Math" w:hAnsi="Cambria Math"/>
              </w:rPr>
            </m:ctrlPr>
          </m:sSubPr>
          <m:e>
            <m:r>
              <m:rPr>
                <m:sty m:val="b"/>
              </m:rPr>
              <w:rPr>
                <w:rFonts w:ascii="Cambria Math" w:hAnsi="Cambria Math"/>
              </w:rPr>
              <m:t>Σ</m:t>
            </m:r>
          </m:e>
          <m:sub>
            <m:r>
              <w:rPr>
                <w:rFonts w:ascii="Cambria Math" w:hAnsi="Cambria Math"/>
              </w:rPr>
              <m:t>zw</m:t>
            </m:r>
          </m:sub>
        </m:sSub>
      </m:oMath>
      <w:r>
        <w:t xml:space="preserve"> is the covariance between </w:t>
      </w:r>
      <m:oMath>
        <m:r>
          <m:rPr>
            <m:sty m:val="b"/>
          </m:rPr>
          <w:rPr>
            <w:rFonts w:ascii="Cambria Math" w:hAnsi="Cambria Math"/>
          </w:rPr>
          <m:t>z</m:t>
        </m:r>
      </m:oMath>
      <w:r>
        <w:t xml:space="preserve"> and </w:t>
      </w:r>
      <m:oMath>
        <m:r>
          <m:rPr>
            <m:sty m:val="b"/>
          </m:rPr>
          <w:rPr>
            <w:rFonts w:ascii="Cambria Math" w:hAnsi="Cambria Math"/>
          </w:rPr>
          <m:t>w</m:t>
        </m:r>
      </m:oMath>
      <w:r>
        <w:t xml:space="preserve">. </w:t>
      </w:r>
      <m:oMath>
        <m:sSub>
          <m:sSubPr>
            <m:ctrlPr>
              <w:rPr>
                <w:rFonts w:ascii="Cambria Math" w:hAnsi="Cambria Math"/>
              </w:rPr>
            </m:ctrlPr>
          </m:sSubPr>
          <m:e>
            <m:r>
              <m:rPr>
                <m:sty m:val="b"/>
              </m:rPr>
              <w:rPr>
                <w:rFonts w:ascii="Cambria Math" w:hAnsi="Cambria Math"/>
              </w:rPr>
              <m:t>μ</m:t>
            </m:r>
          </m:e>
          <m:sub>
            <m:r>
              <w:rPr>
                <w:rFonts w:ascii="Cambria Math" w:hAnsi="Cambria Math"/>
              </w:rPr>
              <m:t>w</m:t>
            </m:r>
          </m:sub>
        </m:sSub>
      </m:oMath>
      <w:r>
        <w:t xml:space="preserve"> and </w:t>
      </w:r>
      <m:oMath>
        <m:sSub>
          <m:sSubPr>
            <m:ctrlPr>
              <w:rPr>
                <w:rFonts w:ascii="Cambria Math" w:hAnsi="Cambria Math"/>
              </w:rPr>
            </m:ctrlPr>
          </m:sSubPr>
          <m:e>
            <m:r>
              <m:rPr>
                <m:sty m:val="b"/>
              </m:rPr>
              <w:rPr>
                <w:rFonts w:ascii="Cambria Math" w:hAnsi="Cambria Math"/>
              </w:rPr>
              <m:t>μ</m:t>
            </m:r>
          </m:e>
          <m:sub>
            <m:r>
              <w:rPr>
                <w:rFonts w:ascii="Cambria Math" w:hAnsi="Cambria Math"/>
              </w:rPr>
              <m:t>z</m:t>
            </m:r>
          </m:sub>
        </m:sSub>
      </m:oMath>
      <w:r>
        <w:t xml:space="preserve"> are mean vector of </w:t>
      </w:r>
      <m:oMath>
        <m:r>
          <m:rPr>
            <m:sty m:val="b"/>
          </m:rPr>
          <w:rPr>
            <w:rFonts w:ascii="Cambria Math" w:hAnsi="Cambria Math"/>
          </w:rPr>
          <m:t>z</m:t>
        </m:r>
      </m:oMath>
      <w:r>
        <w:t xml:space="preserve"> and </w:t>
      </w:r>
      <m:oMath>
        <m:r>
          <m:rPr>
            <m:sty m:val="b"/>
          </m:rPr>
          <w:rPr>
            <w:rFonts w:ascii="Cambria Math" w:hAnsi="Cambria Math"/>
          </w:rPr>
          <m:t>w</m:t>
        </m:r>
      </m:oMath>
      <w:r>
        <w:t xml:space="preserve"> respectively.</w:t>
      </w:r>
    </w:p>
    <w:p w:rsidR="0096095D" w:rsidRDefault="00CF708D">
      <w:pPr>
        <w:pStyle w:val="BodyText"/>
      </w:pPr>
      <w:r>
        <w:t xml:space="preserve">Here, the elements of </w:t>
      </w:r>
      <m:oMath>
        <m:r>
          <m:rPr>
            <m:sty m:val="b"/>
          </m:rPr>
          <w:rPr>
            <w:rFonts w:ascii="Cambria Math" w:hAnsi="Cambria Math"/>
          </w:rPr>
          <m:t>w</m:t>
        </m:r>
      </m:oMath>
      <w:r>
        <w:t xml:space="preserve"> and </w:t>
      </w:r>
      <m:oMath>
        <m:r>
          <m:rPr>
            <m:sty m:val="b"/>
          </m:rPr>
          <w:rPr>
            <w:rFonts w:ascii="Cambria Math" w:hAnsi="Cambria Math"/>
          </w:rPr>
          <m:t>z</m:t>
        </m:r>
      </m:oMath>
      <w:r>
        <w:t xml:space="preserve"> are the principal components of responses and predictors, which will respectively be referred as “response components” and “predictor components”. The column vectors of respective rotation matrices </w:t>
      </w:r>
      <m:oMath>
        <m:r>
          <m:rPr>
            <m:sty m:val="b"/>
          </m:rPr>
          <w:rPr>
            <w:rFonts w:ascii="Cambria Math" w:hAnsi="Cambria Math"/>
          </w:rPr>
          <m:t>Q</m:t>
        </m:r>
      </m:oMath>
      <w:r>
        <w:t xml:space="preserve"> and </w:t>
      </w:r>
      <m:oMath>
        <m:r>
          <m:rPr>
            <m:sty m:val="b"/>
          </m:rPr>
          <w:rPr>
            <w:rFonts w:ascii="Cambria Math" w:hAnsi="Cambria Math"/>
          </w:rPr>
          <m:t>R</m:t>
        </m:r>
      </m:oMath>
      <w:r>
        <w:t xml:space="preserve"> are the eigenvectors corresponding to these principal components. We can write a linear model based on (3) as,</w:t>
      </w:r>
    </w:p>
    <w:p w:rsidR="0096095D" w:rsidRDefault="00CF708D">
      <w:pPr>
        <w:pStyle w:val="BodyText"/>
      </w:pPr>
      <m:oMathPara>
        <m:oMathParaPr>
          <m:jc m:val="center"/>
        </m:oMathParaPr>
        <m:oMath>
          <m:r>
            <m:rPr>
              <m:sty m:val="b"/>
            </m:rPr>
            <w:rPr>
              <w:rFonts w:ascii="Cambria Math" w:hAnsi="Cambria Math"/>
            </w:rPr>
            <m:t>w</m:t>
          </m:r>
          <m:r>
            <w:rPr>
              <w:rFonts w:ascii="Cambria Math" w:hAnsi="Cambria Math"/>
            </w:rPr>
            <m:t>=</m:t>
          </m:r>
          <m:sSub>
            <m:sSubPr>
              <m:ctrlPr>
                <w:rPr>
                  <w:rFonts w:ascii="Cambria Math" w:hAnsi="Cambria Math"/>
                </w:rPr>
              </m:ctrlPr>
            </m:sSubPr>
            <m:e>
              <m:r>
                <m:rPr>
                  <m:sty m:val="b"/>
                </m:rPr>
                <w:rPr>
                  <w:rFonts w:ascii="Cambria Math" w:hAnsi="Cambria Math"/>
                </w:rPr>
                <m:t>μ</m:t>
              </m:r>
            </m:e>
            <m:sub>
              <m:r>
                <w:rPr>
                  <w:rFonts w:ascii="Cambria Math" w:hAnsi="Cambria Math"/>
                </w:rPr>
                <m:t>w</m:t>
              </m:r>
            </m:sub>
          </m:sSub>
          <m:r>
            <w:rPr>
              <w:rFonts w:ascii="Cambria Math" w:hAnsi="Cambria Math"/>
            </w:rPr>
            <m:t>+</m:t>
          </m:r>
          <m:sSup>
            <m:sSupPr>
              <m:ctrlPr>
                <w:rPr>
                  <w:rFonts w:ascii="Cambria Math" w:hAnsi="Cambria Math"/>
                </w:rPr>
              </m:ctrlPr>
            </m:sSupPr>
            <m:e>
              <m:r>
                <m:rPr>
                  <m:sty m:val="b"/>
                </m:rPr>
                <w:rPr>
                  <w:rFonts w:ascii="Cambria Math" w:hAnsi="Cambria Math"/>
                </w:rPr>
                <m:t>α</m:t>
              </m:r>
            </m:e>
            <m:sup>
              <m:r>
                <w:rPr>
                  <w:rFonts w:ascii="Cambria Math" w:hAnsi="Cambria Math"/>
                </w:rPr>
                <m:t>t</m:t>
              </m:r>
            </m:sup>
          </m:sSup>
          <m:r>
            <w:rPr>
              <w:rFonts w:ascii="Cambria Math" w:hAnsi="Cambria Math"/>
            </w:rPr>
            <m:t>(</m:t>
          </m:r>
          <m:r>
            <m:rPr>
              <m:sty m:val="b"/>
            </m:rPr>
            <w:rPr>
              <w:rFonts w:ascii="Cambria Math" w:hAnsi="Cambria Math"/>
            </w:rPr>
            <m:t>z</m:t>
          </m:r>
          <m:r>
            <w:rPr>
              <w:rFonts w:ascii="Cambria Math" w:hAnsi="Cambria Math"/>
            </w:rPr>
            <m:t>-</m:t>
          </m:r>
          <m:sSub>
            <m:sSubPr>
              <m:ctrlPr>
                <w:rPr>
                  <w:rFonts w:ascii="Cambria Math" w:hAnsi="Cambria Math"/>
                </w:rPr>
              </m:ctrlPr>
            </m:sSubPr>
            <m:e>
              <m:r>
                <m:rPr>
                  <m:sty m:val="b"/>
                </m:rPr>
                <w:rPr>
                  <w:rFonts w:ascii="Cambria Math" w:hAnsi="Cambria Math"/>
                </w:rPr>
                <m:t>μ</m:t>
              </m:r>
            </m:e>
            <m:sub>
              <m:r>
                <m:rPr>
                  <m:sty m:val="b"/>
                </m:rPr>
                <w:rPr>
                  <w:rFonts w:ascii="Cambria Math" w:hAnsi="Cambria Math"/>
                </w:rPr>
                <m:t>z</m:t>
              </m:r>
            </m:sub>
          </m:sSub>
          <m:r>
            <w:rPr>
              <w:rFonts w:ascii="Cambria Math" w:hAnsi="Cambria Math"/>
            </w:rPr>
            <m:t>)+</m:t>
          </m:r>
          <m:r>
            <m:rPr>
              <m:sty m:val="b"/>
            </m:rPr>
            <w:rPr>
              <w:rFonts w:ascii="Cambria Math" w:hAnsi="Cambria Math"/>
            </w:rPr>
            <m:t>τ</m:t>
          </m:r>
          <m:r>
            <w:rPr>
              <w:rFonts w:ascii="Cambria Math" w:hAnsi="Cambria Math"/>
            </w:rPr>
            <m:t>  (4)</m:t>
          </m:r>
        </m:oMath>
      </m:oMathPara>
    </w:p>
    <w:p w:rsidR="0096095D" w:rsidRDefault="00CF708D">
      <w:pPr>
        <w:pStyle w:val="FirstParagraph"/>
      </w:pPr>
      <w:r>
        <w:t xml:space="preserve">where, </w:t>
      </w:r>
      <m:oMath>
        <m:limLow>
          <m:limLowPr>
            <m:ctrlPr>
              <w:rPr>
                <w:rFonts w:ascii="Cambria Math" w:hAnsi="Cambria Math"/>
              </w:rPr>
            </m:ctrlPr>
          </m:limLowPr>
          <m:e>
            <m:sSup>
              <m:sSupPr>
                <m:ctrlPr>
                  <w:rPr>
                    <w:rFonts w:ascii="Cambria Math" w:hAnsi="Cambria Math"/>
                  </w:rPr>
                </m:ctrlPr>
              </m:sSupPr>
              <m:e>
                <m:r>
                  <m:rPr>
                    <m:sty m:val="b"/>
                  </m:rPr>
                  <w:rPr>
                    <w:rFonts w:ascii="Cambria Math" w:hAnsi="Cambria Math"/>
                  </w:rPr>
                  <m:t>α</m:t>
                </m:r>
              </m:e>
              <m:sup>
                <m:r>
                  <w:rPr>
                    <w:rFonts w:ascii="Cambria Math" w:hAnsi="Cambria Math"/>
                  </w:rPr>
                  <m:t>t</m:t>
                </m:r>
              </m:sup>
            </m:sSup>
          </m:e>
          <m:lim>
            <m:r>
              <w:rPr>
                <w:rFonts w:ascii="Cambria Math" w:hAnsi="Cambria Math"/>
              </w:rPr>
              <m:t>m×p</m:t>
            </m:r>
          </m:lim>
        </m:limLow>
      </m:oMath>
      <w:r>
        <w:t xml:space="preserve"> is a matrix of regression coefficients and </w:t>
      </w:r>
      <m:oMath>
        <m:r>
          <m:rPr>
            <m:sty m:val="b"/>
          </m:rPr>
          <w:rPr>
            <w:rFonts w:ascii="Cambria Math" w:hAnsi="Cambria Math"/>
          </w:rPr>
          <m:t>τ</m:t>
        </m:r>
      </m:oMath>
      <w:r>
        <w:t xml:space="preserve"> is an error term such that </w:t>
      </w:r>
      <m:oMath>
        <m:r>
          <m:rPr>
            <m:sty m:val="b"/>
          </m:rPr>
          <w:rPr>
            <w:rFonts w:ascii="Cambria Math" w:hAnsi="Cambria Math"/>
          </w:rPr>
          <m:t>τ</m:t>
        </m:r>
        <m:r>
          <w:rPr>
            <w:rFonts w:ascii="Cambria Math" w:hAnsi="Cambria Math"/>
          </w:rPr>
          <m:t>∼</m:t>
        </m:r>
        <m:r>
          <m:rPr>
            <m:scr m:val="script"/>
            <m:sty m:val="p"/>
          </m:rPr>
          <w:rPr>
            <w:rFonts w:ascii="Cambria Math" w:hAnsi="Cambria Math"/>
          </w:rPr>
          <m:t>N</m:t>
        </m:r>
        <m:r>
          <w:rPr>
            <w:rFonts w:ascii="Cambria Math" w:hAnsi="Cambria Math"/>
          </w:rPr>
          <m:t>(0,</m:t>
        </m:r>
        <m:sSub>
          <m:sSubPr>
            <m:ctrlPr>
              <w:rPr>
                <w:rFonts w:ascii="Cambria Math" w:hAnsi="Cambria Math"/>
              </w:rPr>
            </m:ctrlPr>
          </m:sSubPr>
          <m:e>
            <m:r>
              <m:rPr>
                <m:sty m:val="b"/>
              </m:rPr>
              <w:rPr>
                <w:rFonts w:ascii="Cambria Math" w:hAnsi="Cambria Math"/>
              </w:rPr>
              <m:t>Σ</m:t>
            </m:r>
          </m:e>
          <m:sub>
            <m:r>
              <w:rPr>
                <w:rFonts w:ascii="Cambria Math" w:hAnsi="Cambria Math"/>
              </w:rPr>
              <m:t>w|z</m:t>
            </m:r>
          </m:sub>
        </m:sSub>
        <m:r>
          <w:rPr>
            <w:rFonts w:ascii="Cambria Math" w:hAnsi="Cambria Math"/>
          </w:rPr>
          <m:t>)</m:t>
        </m:r>
      </m:oMath>
      <w:r>
        <w:t>.</w:t>
      </w:r>
    </w:p>
    <w:p w:rsidR="0096095D" w:rsidRDefault="00CF708D">
      <w:pPr>
        <w:pStyle w:val="BodyText"/>
      </w:pPr>
      <w:r>
        <w:t>Following the concept of relevant space, a subset of predictor components can be imagined to span the predictor space. These components can be regarded as relevant predictor components. Naes and Martens (</w:t>
      </w:r>
      <w:hyperlink w:anchor="ref-Naes1985">
        <w:r>
          <w:rPr>
            <w:rStyle w:val="Hyperlink"/>
          </w:rPr>
          <w:t>1985</w:t>
        </w:r>
      </w:hyperlink>
      <w:r>
        <w:t xml:space="preserve">) introduced the concept of relevant components which was explored </w:t>
      </w:r>
      <w:r>
        <w:lastRenderedPageBreak/>
        <w:t>further by Helland (</w:t>
      </w:r>
      <w:hyperlink w:anchor="ref-helland1990partial">
        <w:r>
          <w:rPr>
            <w:rStyle w:val="Hyperlink"/>
          </w:rPr>
          <w:t>1990</w:t>
        </w:r>
      </w:hyperlink>
      <w:r>
        <w:t>), Næs and Helland (</w:t>
      </w:r>
      <w:hyperlink w:anchor="ref-naes1993relevant">
        <w:r>
          <w:rPr>
            <w:rStyle w:val="Hyperlink"/>
          </w:rPr>
          <w:t>1993</w:t>
        </w:r>
      </w:hyperlink>
      <w:r>
        <w:t>), Helland and Almøy (</w:t>
      </w:r>
      <w:hyperlink w:anchor="ref-Helland1994b">
        <w:r>
          <w:rPr>
            <w:rStyle w:val="Hyperlink"/>
          </w:rPr>
          <w:t>1994</w:t>
        </w:r>
      </w:hyperlink>
      <w:r>
        <w:t>) and Helland (</w:t>
      </w:r>
      <w:hyperlink w:anchor="ref-Helland2000">
        <w:r>
          <w:rPr>
            <w:rStyle w:val="Hyperlink"/>
          </w:rPr>
          <w:t>2000</w:t>
        </w:r>
      </w:hyperlink>
      <w:r>
        <w:t>). The corresponding eigenvectors were referred to as relevant eigenvectors. A similar logic is introduced by R Dennis Cook, Li, and Chiaromonte (</w:t>
      </w:r>
      <w:hyperlink w:anchor="ref-cook2010envelope">
        <w:r>
          <w:rPr>
            <w:rStyle w:val="Hyperlink"/>
          </w:rPr>
          <w:t>2010</w:t>
        </w:r>
      </w:hyperlink>
      <w:r>
        <w:t>) and later by R. D. Cook, Helland, and Su (</w:t>
      </w:r>
      <w:hyperlink w:anchor="ref-cook2013envelopes">
        <w:r>
          <w:rPr>
            <w:rStyle w:val="Hyperlink"/>
          </w:rPr>
          <w:t>2013</w:t>
        </w:r>
      </w:hyperlink>
      <w:r>
        <w:t xml:space="preserve">) as an envelope which is the space spanned by the relevant eigenvectors (R. Dennis Cook </w:t>
      </w:r>
      <w:hyperlink w:anchor="ref-cook2018envelope">
        <w:r>
          <w:rPr>
            <w:rStyle w:val="Hyperlink"/>
          </w:rPr>
          <w:t>2018</w:t>
        </w:r>
      </w:hyperlink>
      <w:r>
        <w:t>, 101).</w:t>
      </w:r>
    </w:p>
    <w:p w:rsidR="0096095D" w:rsidRDefault="00CF708D">
      <w:pPr>
        <w:pStyle w:val="BodyText"/>
      </w:pPr>
      <w:r>
        <w:t>In addition, various simulation studies have been performed with the model based on the concept of relevant subspace. A simulation study by Almøy (</w:t>
      </w:r>
      <w:hyperlink w:anchor="ref-Alm_y_1996">
        <w:r>
          <w:rPr>
            <w:rStyle w:val="Hyperlink"/>
          </w:rPr>
          <w:t>1996</w:t>
        </w:r>
      </w:hyperlink>
      <w:r>
        <w:t>) has used a single response simulation model based on reduced regression and has compared some contemporary multivariate estimators. In the recent years Helland, Saebø, and Tjelmeland (</w:t>
      </w:r>
      <w:hyperlink w:anchor="ref-helland2012near">
        <w:r>
          <w:rPr>
            <w:rStyle w:val="Hyperlink"/>
          </w:rPr>
          <w:t>2012</w:t>
        </w:r>
      </w:hyperlink>
      <w:r>
        <w:t>), Sæbø, Almøy, and Helland (</w:t>
      </w:r>
      <w:hyperlink w:anchor="ref-saebo2015simrel">
        <w:r>
          <w:rPr>
            <w:rStyle w:val="Hyperlink"/>
          </w:rPr>
          <w:t>2015</w:t>
        </w:r>
      </w:hyperlink>
      <w:r>
        <w:t>), I. S. Helland et al. (</w:t>
      </w:r>
      <w:hyperlink w:anchor="ref-helland2016algorithms">
        <w:r>
          <w:rPr>
            <w:rStyle w:val="Hyperlink"/>
          </w:rPr>
          <w:t>2018</w:t>
        </w:r>
      </w:hyperlink>
      <w:r>
        <w:t>) and Rimal, Almøy, and Sæbø (</w:t>
      </w:r>
      <w:hyperlink w:anchor="ref-Rimal2018">
        <w:r>
          <w:rPr>
            <w:rStyle w:val="Hyperlink"/>
          </w:rPr>
          <w:t>2018</w:t>
        </w:r>
      </w:hyperlink>
      <w:r>
        <w:t>) implemented similar simulation examples as we are discussing in this study. This paper, however, presents an elaborate comparision of the prediction using multi-response simulated linear model data. The properties of the simulated data are varied through different levels of simulation parameters based on an experimental design. Rimal, Almøy, and Sæbø (</w:t>
      </w:r>
      <w:hyperlink w:anchor="ref-Rimal2018">
        <w:r>
          <w:rPr>
            <w:rStyle w:val="Hyperlink"/>
          </w:rPr>
          <w:t>2018</w:t>
        </w:r>
      </w:hyperlink>
      <w:r>
        <w:t>) has a detail discussion about the simulation model that we have opted here. The following section presents the estimators under comparison in more detail.</w:t>
      </w:r>
    </w:p>
    <w:p w:rsidR="0096095D" w:rsidRDefault="00CF708D">
      <w:pPr>
        <w:pStyle w:val="Heading1"/>
      </w:pPr>
      <w:bookmarkStart w:id="3" w:name="prediction-methods"/>
      <w:bookmarkEnd w:id="3"/>
      <w:r>
        <w:t>Prediction Methods</w:t>
      </w:r>
    </w:p>
    <w:p w:rsidR="0096095D" w:rsidRDefault="00CF708D">
      <w:pPr>
        <w:pStyle w:val="FirstParagraph"/>
      </w:pPr>
      <w:r>
        <w:t xml:space="preserve">Partial least squares regression (PLS) and Principal component regression (PCR) have been used in many disciplines such as chemometrics, econometrics, bioinformatics and machine learning, where wide predictor matrices, i.e. </w:t>
      </w:r>
      <m:oMath>
        <m:r>
          <w:rPr>
            <w:rFonts w:ascii="Cambria Math" w:hAnsi="Cambria Math"/>
          </w:rPr>
          <m:t>p</m:t>
        </m:r>
      </m:oMath>
      <w:r>
        <w:t xml:space="preserve"> (number or predictors) &gt; </w:t>
      </w:r>
      <m:oMath>
        <m:r>
          <w:rPr>
            <w:rFonts w:ascii="Cambria Math" w:hAnsi="Cambria Math"/>
          </w:rPr>
          <m:t>n</m:t>
        </m:r>
      </m:oMath>
      <w:r>
        <w:t xml:space="preserve"> (number of observation) are common. These methods are popular in multivariate analysis, especially for exploratory studies and predictions. In recent years, a concept of envelope introduced by R. Dennis Cook, Li, and Chiaromonte (</w:t>
      </w:r>
      <w:hyperlink w:anchor="ref-Cook2007a">
        <w:r>
          <w:rPr>
            <w:rStyle w:val="Hyperlink"/>
          </w:rPr>
          <w:t>2007</w:t>
        </w:r>
      </w:hyperlink>
      <w:r>
        <w:t>) based on reduction in regression model has been implemented for the development of different estimators. This study compares these prediction methods based on their prediction performance on data simulated with different controlled properties.</w:t>
      </w:r>
    </w:p>
    <w:p w:rsidR="0096095D" w:rsidRDefault="00CF708D">
      <w:pPr>
        <w:pStyle w:val="DefinitionTerm"/>
      </w:pPr>
      <w:r>
        <w:rPr>
          <w:i/>
        </w:rPr>
        <w:t>Principal Components Regression (PCR):</w:t>
      </w:r>
    </w:p>
    <w:p w:rsidR="0096095D" w:rsidRDefault="00CF708D">
      <w:pPr>
        <w:pStyle w:val="Definition"/>
      </w:pPr>
      <w:r>
        <w:t xml:space="preserve">Principal components are the linear combinations of predictor variables such that the transformation makes the new variables uncorrelated. In addition the variation of the original dataset captured by the new variables are sorted in descending order. In other words, each successive components captures maximum variation left by the preceding components in </w:t>
      </w:r>
      <w:r>
        <w:lastRenderedPageBreak/>
        <w:t xml:space="preserve">predictor variables (Jolliffe </w:t>
      </w:r>
      <w:hyperlink w:anchor="ref-Jolliffe2002">
        <w:r>
          <w:rPr>
            <w:rStyle w:val="Hyperlink"/>
          </w:rPr>
          <w:t>2002</w:t>
        </w:r>
      </w:hyperlink>
      <w:r>
        <w:t>). Principal components regression uses these principal components as a new predictor to explain the variation in the response.</w:t>
      </w:r>
    </w:p>
    <w:p w:rsidR="0096095D" w:rsidRDefault="00CF708D">
      <w:pPr>
        <w:pStyle w:val="DefinitionTerm"/>
      </w:pPr>
      <w:r>
        <w:rPr>
          <w:i/>
        </w:rPr>
        <w:t>Partial Least Squares (PLS):</w:t>
      </w:r>
    </w:p>
    <w:p w:rsidR="0096095D" w:rsidRDefault="00CF708D">
      <w:pPr>
        <w:pStyle w:val="Definition"/>
      </w:pPr>
      <w:r>
        <w:t xml:space="preserve">Two variants of PLS: PLS1 and PLS2 are used for comparison. The first one considers individual response variables separately, i.e. each response is predicted with a single response model, while the latter considers all response variables together. In PLS regression the components are determined such as to maximize a covariance between response and predictors (Jong </w:t>
      </w:r>
      <w:hyperlink w:anchor="ref-DeJong1993">
        <w:r>
          <w:rPr>
            <w:rStyle w:val="Hyperlink"/>
          </w:rPr>
          <w:t>1993</w:t>
        </w:r>
      </w:hyperlink>
      <w:r>
        <w:t xml:space="preserve">). R-package </w:t>
      </w:r>
      <w:r>
        <w:rPr>
          <w:rStyle w:val="VerbatimChar"/>
        </w:rPr>
        <w:t>pls</w:t>
      </w:r>
      <w:r>
        <w:t xml:space="preserve"> (Mevik, Wehrens, and Liland </w:t>
      </w:r>
      <w:hyperlink w:anchor="ref-pls2018">
        <w:r>
          <w:rPr>
            <w:rStyle w:val="Hyperlink"/>
          </w:rPr>
          <w:t>2018</w:t>
        </w:r>
      </w:hyperlink>
      <w:r>
        <w:t>) is used for both PCR and PLS methods.</w:t>
      </w:r>
    </w:p>
    <w:p w:rsidR="0096095D" w:rsidRDefault="00CF708D">
      <w:pPr>
        <w:pStyle w:val="DefinitionTerm"/>
      </w:pPr>
      <w:r>
        <w:rPr>
          <w:i/>
        </w:rPr>
        <w:t>Envelopes:</w:t>
      </w:r>
    </w:p>
    <w:p w:rsidR="0096095D" w:rsidRDefault="00CF708D">
      <w:pPr>
        <w:pStyle w:val="Definition"/>
      </w:pPr>
      <w:r>
        <w:t>The envelope, introduced by R. Dennis Cook, Li, and Chiaromonte (</w:t>
      </w:r>
      <w:hyperlink w:anchor="ref-Cook2007a">
        <w:r>
          <w:rPr>
            <w:rStyle w:val="Hyperlink"/>
          </w:rPr>
          <w:t>2007</w:t>
        </w:r>
      </w:hyperlink>
      <w:r>
        <w:t xml:space="preserve">), was first used to define response envelope (R Dennis Cook, Li, and Chiaromonte </w:t>
      </w:r>
      <w:hyperlink w:anchor="ref-cook2010envelope">
        <w:r>
          <w:rPr>
            <w:rStyle w:val="Hyperlink"/>
          </w:rPr>
          <w:t>2010</w:t>
        </w:r>
      </w:hyperlink>
      <w:r>
        <w:t xml:space="preserve">) as a smallest subspace in the response space such that the span of regression coefficients lies in that space. Since a multivariate linear regression model contains relevant (material) and irrelevant (immaterial) variation in both response and predictor, the relevant part provides information, while irrelevant part increases the estimative variation. The concept of envelope uses the relevant part for estimation while excluding the irrelevant part consequently increasing the efficiency of the model (R. Dennis Cook and Zhang </w:t>
      </w:r>
      <w:hyperlink w:anchor="ref-cook2016algorithms">
        <w:r>
          <w:rPr>
            <w:rStyle w:val="Hyperlink"/>
          </w:rPr>
          <w:t>2016</w:t>
        </w:r>
      </w:hyperlink>
      <w:r>
        <w:t>).</w:t>
      </w:r>
    </w:p>
    <w:p w:rsidR="0096095D" w:rsidRDefault="00CF708D">
      <w:pPr>
        <w:pStyle w:val="Definition"/>
      </w:pPr>
      <w:r>
        <w:t xml:space="preserve">The concept was later extended to the predictor space, where the predictor envelope was defined (R. D. Cook, Helland, and Su </w:t>
      </w:r>
      <w:hyperlink w:anchor="ref-cook2013envelopes">
        <w:r>
          <w:rPr>
            <w:rStyle w:val="Hyperlink"/>
          </w:rPr>
          <w:t>2013</w:t>
        </w:r>
      </w:hyperlink>
      <w:r>
        <w:t>). Further R. Dennis Cook and Zhang (</w:t>
      </w:r>
      <w:hyperlink w:anchor="ref-cook2015simultaneous">
        <w:r>
          <w:rPr>
            <w:rStyle w:val="Hyperlink"/>
          </w:rPr>
          <w:t>2015</w:t>
        </w:r>
      </w:hyperlink>
      <w:r>
        <w:t xml:space="preserve">) used envelopes for joint reduction of the responses and predictors and argued to produce efficiency gains greater than using individual envelops either of the response and predictors. All the variants of envelope estimations are based on maximum likelihood estimation. Here we have used predictor envelope (Xenv) and simultaneous envelope (Senv) for the comparison. R-package </w:t>
      </w:r>
      <w:r>
        <w:rPr>
          <w:rStyle w:val="VerbatimChar"/>
        </w:rPr>
        <w:t>Renvlp</w:t>
      </w:r>
      <w:r>
        <w:t xml:space="preserve"> (Lee and Su </w:t>
      </w:r>
      <w:hyperlink w:anchor="ref-env2018">
        <w:r>
          <w:rPr>
            <w:rStyle w:val="Hyperlink"/>
          </w:rPr>
          <w:t>2018</w:t>
        </w:r>
      </w:hyperlink>
      <w:r>
        <w:t>) is used for both Xenv and Senv methods.</w:t>
      </w:r>
    </w:p>
    <w:p w:rsidR="0096095D" w:rsidRDefault="00CF708D">
      <w:pPr>
        <w:pStyle w:val="Heading2"/>
      </w:pPr>
      <w:bookmarkStart w:id="4" w:name="modification-in-envelope-estimation"/>
      <w:bookmarkEnd w:id="4"/>
      <w:r>
        <w:t>Modification in envelope estimation</w:t>
      </w:r>
    </w:p>
    <w:p w:rsidR="0096095D" w:rsidRDefault="00CF708D">
      <w:pPr>
        <w:pStyle w:val="FirstParagraph"/>
      </w:pPr>
      <w:r>
        <w:t xml:space="preserve">Since envelope estimators (Xenv and Senv) are based on maximum likelihood estimation (MLE), it fails to estimate in the case of wide matrices, i.e. </w:t>
      </w:r>
      <m:oMath>
        <m:r>
          <w:rPr>
            <w:rFonts w:ascii="Cambria Math" w:hAnsi="Cambria Math"/>
          </w:rPr>
          <m:t>p&gt;n</m:t>
        </m:r>
      </m:oMath>
      <w:r>
        <w:t xml:space="preserve">. In order to incorporate these methods in our comparison, we have used the principal components </w:t>
      </w:r>
      <m:oMath>
        <m:r>
          <w:rPr>
            <w:rFonts w:ascii="Cambria Math" w:hAnsi="Cambria Math"/>
          </w:rPr>
          <m:t>(</m:t>
        </m:r>
        <m:r>
          <m:rPr>
            <m:sty m:val="b"/>
          </m:rPr>
          <w:rPr>
            <w:rFonts w:ascii="Cambria Math" w:hAnsi="Cambria Math"/>
          </w:rPr>
          <m:t>z</m:t>
        </m:r>
        <m:r>
          <w:rPr>
            <w:rFonts w:ascii="Cambria Math" w:hAnsi="Cambria Math"/>
          </w:rPr>
          <m:t>)</m:t>
        </m:r>
      </m:oMath>
      <w:r>
        <w:t xml:space="preserve"> of the predictor variables </w:t>
      </w:r>
      <m:oMath>
        <m:r>
          <w:rPr>
            <w:rFonts w:ascii="Cambria Math" w:hAnsi="Cambria Math"/>
          </w:rPr>
          <m:t>(</m:t>
        </m:r>
        <m:r>
          <m:rPr>
            <m:sty m:val="b"/>
          </m:rPr>
          <w:rPr>
            <w:rFonts w:ascii="Cambria Math" w:hAnsi="Cambria Math"/>
          </w:rPr>
          <m:t>x</m:t>
        </m:r>
        <m:r>
          <w:rPr>
            <w:rFonts w:ascii="Cambria Math" w:hAnsi="Cambria Math"/>
          </w:rPr>
          <m:t>)</m:t>
        </m:r>
      </m:oMath>
      <w:r>
        <w:t xml:space="preserve"> as predictors, using the required number of components for capturing 97.5% of the variation in </w:t>
      </w:r>
      <m:oMath>
        <m:r>
          <m:rPr>
            <m:sty m:val="b"/>
          </m:rPr>
          <w:rPr>
            <w:rFonts w:ascii="Cambria Math" w:hAnsi="Cambria Math"/>
          </w:rPr>
          <m:t>x</m:t>
        </m:r>
      </m:oMath>
      <w:r>
        <w:t xml:space="preserve"> for the designs where </w:t>
      </w:r>
      <m:oMath>
        <m:r>
          <w:rPr>
            <w:rFonts w:ascii="Cambria Math" w:hAnsi="Cambria Math"/>
          </w:rPr>
          <m:t>p&gt;n</m:t>
        </m:r>
      </m:oMath>
      <w:r>
        <w:t xml:space="preserve">. The new set of variables </w:t>
      </w:r>
      <m:oMath>
        <m:r>
          <m:rPr>
            <m:sty m:val="b"/>
          </m:rPr>
          <w:rPr>
            <w:rFonts w:ascii="Cambria Math" w:hAnsi="Cambria Math"/>
          </w:rPr>
          <m:t>z</m:t>
        </m:r>
      </m:oMath>
      <w:r>
        <w:t xml:space="preserve"> were used for envelope estimation. The regression coefficients </w:t>
      </w:r>
      <m:oMath>
        <m:d>
          <m:dPr>
            <m:ctrlPr>
              <w:rPr>
                <w:rFonts w:ascii="Cambria Math" w:hAnsi="Cambria Math"/>
                <w:i/>
              </w:rPr>
            </m:ctrlPr>
          </m:dPr>
          <m:e>
            <m:groupChr>
              <m:groupChrPr>
                <m:chr m:val="^"/>
                <m:pos m:val="top"/>
                <m:vertJc m:val="bot"/>
                <m:ctrlPr>
                  <w:rPr>
                    <w:rFonts w:ascii="Cambria Math" w:hAnsi="Cambria Math"/>
                  </w:rPr>
                </m:ctrlPr>
              </m:groupChrPr>
              <m:e>
                <m:r>
                  <m:rPr>
                    <m:nor/>
                  </m:rPr>
                  <w:rPr>
                    <w:rFonts w:ascii="Cambria Math" w:hAnsi="Cambria Math"/>
                    <w:b/>
                  </w:rPr>
                  <m:t>α</m:t>
                </m:r>
              </m:e>
            </m:groupChr>
          </m:e>
        </m:d>
      </m:oMath>
      <w:r>
        <w:t xml:space="preserve"> corresponding to these new variables </w:t>
      </w:r>
      <m:oMath>
        <m:r>
          <m:rPr>
            <m:sty m:val="b"/>
          </m:rPr>
          <w:rPr>
            <w:rFonts w:ascii="Cambria Math" w:hAnsi="Cambria Math"/>
          </w:rPr>
          <m:t>z</m:t>
        </m:r>
      </m:oMath>
      <w:r>
        <w:t xml:space="preserve"> were transformed back to obtain coefficients for each predictor variable as,</w:t>
      </w:r>
    </w:p>
    <w:p w:rsidR="0096095D" w:rsidRDefault="002E0E1D">
      <w:pPr>
        <w:pStyle w:val="BodyText"/>
      </w:pPr>
      <m:oMathPara>
        <m:oMathParaPr>
          <m:jc m:val="center"/>
        </m:oMathParaPr>
        <m:oMath>
          <m:groupChr>
            <m:groupChrPr>
              <m:chr m:val="^"/>
              <m:pos m:val="top"/>
              <m:vertJc m:val="bot"/>
              <m:ctrlPr>
                <w:rPr>
                  <w:rFonts w:ascii="Cambria Math" w:hAnsi="Cambria Math"/>
                </w:rPr>
              </m:ctrlPr>
            </m:groupChrPr>
            <m:e>
              <m:r>
                <m:rPr>
                  <m:sty m:val="b"/>
                </m:rPr>
                <w:rPr>
                  <w:rFonts w:ascii="Cambria Math" w:hAnsi="Cambria Math"/>
                </w:rPr>
                <m:t>β</m:t>
              </m:r>
            </m:e>
          </m:groupChr>
          <m:r>
            <w:rPr>
              <w:rFonts w:ascii="Cambria Math" w:hAnsi="Cambria Math"/>
            </w:rPr>
            <m:t>=</m:t>
          </m:r>
          <m:sSub>
            <m:sSubPr>
              <m:ctrlPr>
                <w:rPr>
                  <w:rFonts w:ascii="Cambria Math" w:hAnsi="Cambria Math"/>
                </w:rPr>
              </m:ctrlPr>
            </m:sSubPr>
            <m:e>
              <m:r>
                <m:rPr>
                  <m:sty m:val="b"/>
                </m:rPr>
                <w:rPr>
                  <w:rFonts w:ascii="Cambria Math" w:hAnsi="Cambria Math"/>
                </w:rPr>
                <m:t>e</m:t>
              </m:r>
            </m:e>
            <m:sub>
              <m:r>
                <w:rPr>
                  <w:rFonts w:ascii="Cambria Math" w:hAnsi="Cambria Math"/>
                </w:rPr>
                <m:t>k</m:t>
              </m:r>
            </m:sub>
          </m:sSub>
          <m:groupChr>
            <m:groupChrPr>
              <m:chr m:val="^"/>
              <m:pos m:val="top"/>
              <m:vertJc m:val="bot"/>
              <m:ctrlPr>
                <w:rPr>
                  <w:rFonts w:ascii="Cambria Math" w:hAnsi="Cambria Math"/>
                </w:rPr>
              </m:ctrlPr>
            </m:groupChrPr>
            <m:e>
              <m:sSub>
                <m:sSubPr>
                  <m:ctrlPr>
                    <w:rPr>
                      <w:rFonts w:ascii="Cambria Math" w:hAnsi="Cambria Math"/>
                    </w:rPr>
                  </m:ctrlPr>
                </m:sSubPr>
                <m:e>
                  <m:r>
                    <m:rPr>
                      <m:sty m:val="b"/>
                    </m:rPr>
                    <w:rPr>
                      <w:rFonts w:ascii="Cambria Math" w:hAnsi="Cambria Math"/>
                    </w:rPr>
                    <m:t>α</m:t>
                  </m:r>
                </m:e>
                <m:sub>
                  <m:r>
                    <w:rPr>
                      <w:rFonts w:ascii="Cambria Math" w:hAnsi="Cambria Math"/>
                    </w:rPr>
                    <m:t>k</m:t>
                  </m:r>
                </m:sub>
              </m:sSub>
            </m:e>
          </m:groupChr>
        </m:oMath>
      </m:oMathPara>
    </w:p>
    <w:p w:rsidR="0096095D" w:rsidRDefault="00CF708D">
      <w:pPr>
        <w:pStyle w:val="FirstParagraph"/>
      </w:pPr>
      <w:r>
        <w:t xml:space="preserve">where, </w:t>
      </w:r>
      <m:oMath>
        <m:sSub>
          <m:sSubPr>
            <m:ctrlPr>
              <w:rPr>
                <w:rFonts w:ascii="Cambria Math" w:hAnsi="Cambria Math"/>
              </w:rPr>
            </m:ctrlPr>
          </m:sSubPr>
          <m:e>
            <m:r>
              <m:rPr>
                <m:sty m:val="b"/>
              </m:rPr>
              <w:rPr>
                <w:rFonts w:ascii="Cambria Math" w:hAnsi="Cambria Math"/>
              </w:rPr>
              <m:t>e</m:t>
            </m:r>
          </m:e>
          <m:sub>
            <m:r>
              <w:rPr>
                <w:rFonts w:ascii="Cambria Math" w:hAnsi="Cambria Math"/>
              </w:rPr>
              <m:t>k</m:t>
            </m:r>
          </m:sub>
        </m:sSub>
      </m:oMath>
      <w:r>
        <w:t xml:space="preserve"> is a matrix of eigenvectors with first </w:t>
      </w:r>
      <m:oMath>
        <m:r>
          <w:rPr>
            <w:rFonts w:ascii="Cambria Math" w:hAnsi="Cambria Math"/>
          </w:rPr>
          <m:t>k</m:t>
        </m:r>
      </m:oMath>
      <w:r>
        <w:t xml:space="preserve"> number of components. Since, only simultaneous envelope allows to specify the dimension of response envelope which we have fixed at two in the simulation study. In the case of Senv, when the envelope dimension for response is same as the number of responses, it degenerates to Xenv method and if the envelope dimension for predictor is same as the number of predictors, it degenerates to the standard multivariate linear regression (Lee and Su </w:t>
      </w:r>
      <w:hyperlink w:anchor="ref-env2018">
        <w:r>
          <w:rPr>
            <w:rStyle w:val="Hyperlink"/>
          </w:rPr>
          <w:t>2018</w:t>
        </w:r>
      </w:hyperlink>
      <w:r>
        <w:t>).</w:t>
      </w:r>
    </w:p>
    <w:p w:rsidR="0096095D" w:rsidRDefault="00CF708D">
      <w:pPr>
        <w:pStyle w:val="Heading1"/>
      </w:pPr>
      <w:bookmarkStart w:id="5" w:name="experimental-design"/>
      <w:bookmarkEnd w:id="5"/>
      <w:r>
        <w:t>Experimental Design</w:t>
      </w:r>
    </w:p>
    <w:p w:rsidR="0096095D" w:rsidRDefault="00CF708D">
      <w:pPr>
        <w:pStyle w:val="FirstParagraph"/>
      </w:pPr>
      <w:r>
        <w:t xml:space="preserve">This study compares prediction methods based on their prediction ability. Data with specific properties are simulated, some of which are easier to predict than others. These data are simulated using the R-package </w:t>
      </w:r>
      <w:r>
        <w:rPr>
          <w:rStyle w:val="VerbatimChar"/>
        </w:rPr>
        <w:t>simrel</w:t>
      </w:r>
      <w:r>
        <w:t>, which is discussed in Sæbø, Almøy, and Helland (</w:t>
      </w:r>
      <w:hyperlink w:anchor="ref-saebo2015simrel">
        <w:r>
          <w:rPr>
            <w:rStyle w:val="Hyperlink"/>
          </w:rPr>
          <w:t>2015</w:t>
        </w:r>
      </w:hyperlink>
      <w:r>
        <w:t>) and Rimal, Almøy, and Sæbø (</w:t>
      </w:r>
      <w:hyperlink w:anchor="ref-Rimal2018">
        <w:r>
          <w:rPr>
            <w:rStyle w:val="Hyperlink"/>
          </w:rPr>
          <w:t>2018</w:t>
        </w:r>
      </w:hyperlink>
      <w:r>
        <w:t>). Here we have used four different factors to vary the property of the data: a) Number of predictors (</w:t>
      </w:r>
      <w:r>
        <w:rPr>
          <w:rStyle w:val="VerbatimChar"/>
        </w:rPr>
        <w:t>p</w:t>
      </w:r>
      <w:r>
        <w:t>), b) Multicollinearity in predictor variables (</w:t>
      </w:r>
      <w:r>
        <w:rPr>
          <w:rStyle w:val="VerbatimChar"/>
        </w:rPr>
        <w:t>gamma</w:t>
      </w:r>
      <w:r>
        <w:t>), c) Correlation in response variables (</w:t>
      </w:r>
      <w:r>
        <w:rPr>
          <w:rStyle w:val="VerbatimChar"/>
        </w:rPr>
        <w:t>eta</w:t>
      </w:r>
      <w:r>
        <w:t>) and d) position of predictor components relevant for the response (</w:t>
      </w:r>
      <w:r>
        <w:rPr>
          <w:rStyle w:val="VerbatimChar"/>
        </w:rPr>
        <w:t>relpos</w:t>
      </w:r>
      <w:r>
        <w:t xml:space="preserve">). Using two levels of </w:t>
      </w:r>
      <w:r>
        <w:rPr>
          <w:rStyle w:val="VerbatimChar"/>
        </w:rPr>
        <w:t>p</w:t>
      </w:r>
      <w:r>
        <w:t xml:space="preserve">, </w:t>
      </w:r>
      <w:r>
        <w:rPr>
          <w:rStyle w:val="VerbatimChar"/>
        </w:rPr>
        <w:t>gamma</w:t>
      </w:r>
      <w:r>
        <w:t xml:space="preserve"> and </w:t>
      </w:r>
      <w:r>
        <w:rPr>
          <w:rStyle w:val="VerbatimChar"/>
        </w:rPr>
        <w:t>relpos</w:t>
      </w:r>
      <w:r>
        <w:t xml:space="preserve"> and four levels of </w:t>
      </w:r>
      <w:r>
        <w:rPr>
          <w:rStyle w:val="VerbatimChar"/>
        </w:rPr>
        <w:t>eta</w:t>
      </w:r>
      <w:r>
        <w:t>, 32 set of distinct properties are designed for the simulation.</w:t>
      </w:r>
    </w:p>
    <w:p w:rsidR="0096095D" w:rsidRDefault="00CF708D">
      <w:pPr>
        <w:pStyle w:val="DefinitionTerm"/>
      </w:pPr>
      <w:r>
        <w:t>Number of predictors:</w:t>
      </w:r>
    </w:p>
    <w:p w:rsidR="0096095D" w:rsidRDefault="00CF708D">
      <w:pPr>
        <w:pStyle w:val="Definition"/>
      </w:pPr>
      <w:r>
        <w:t xml:space="preserve">In order to observe the performance of the methods on tall and wide predictor matrices, 20 and 250 predictor variables are simulated with number of observations fixed at 100. Parameter </w:t>
      </w:r>
      <w:r>
        <w:rPr>
          <w:rStyle w:val="VerbatimChar"/>
        </w:rPr>
        <w:t>p</w:t>
      </w:r>
      <w:r>
        <w:t xml:space="preserve"> controls this properties in the </w:t>
      </w:r>
      <w:r>
        <w:rPr>
          <w:rStyle w:val="VerbatimChar"/>
        </w:rPr>
        <w:t>simrel</w:t>
      </w:r>
      <w:r>
        <w:t xml:space="preserve"> function.</w:t>
      </w:r>
    </w:p>
    <w:p w:rsidR="0096095D" w:rsidRDefault="00CF708D">
      <w:pPr>
        <w:pStyle w:val="DefinitionTerm"/>
      </w:pPr>
      <w:r>
        <w:t>Multicollinearity in predictor variables:</w:t>
      </w:r>
    </w:p>
    <w:p w:rsidR="0096095D" w:rsidRDefault="00CF708D">
      <w:pPr>
        <w:pStyle w:val="Definition"/>
      </w:pPr>
      <w:r>
        <w:t xml:space="preserve">Highly collinear predictors can be explained completely by few components. The parameter </w:t>
      </w:r>
      <w:r>
        <w:rPr>
          <w:rStyle w:val="VerbatimChar"/>
        </w:rPr>
        <w:t>gamma</w:t>
      </w:r>
      <w:r>
        <w:t xml:space="preserve"> (</w:t>
      </w:r>
      <m:oMath>
        <m:r>
          <w:rPr>
            <w:rFonts w:ascii="Cambria Math" w:hAnsi="Cambria Math"/>
          </w:rPr>
          <m:t>γ</m:t>
        </m:r>
      </m:oMath>
      <w:r>
        <w:t xml:space="preserve">) in </w:t>
      </w:r>
      <w:r>
        <w:rPr>
          <w:rStyle w:val="VerbatimChar"/>
        </w:rPr>
        <w:t>simrel</w:t>
      </w:r>
      <w:r>
        <w:t xml:space="preserve"> controls decline in the eigenvalues of the predictor variables as (5).</w:t>
      </w:r>
    </w:p>
    <w:p w:rsidR="0096095D" w:rsidRDefault="00CF708D">
      <w:pPr>
        <w:pStyle w:val="FirstParagraph"/>
      </w:pPr>
      <w:r>
        <w:t xml:space="preserve">Here, </w:t>
      </w:r>
      <m:oMath>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,i=1,2,…p</m:t>
        </m:r>
      </m:oMath>
      <w:r>
        <w:t xml:space="preserve"> are eigenvalues of the predictor variables. Here we have used 0.2 and 0.9 as different levels of </w:t>
      </w:r>
      <w:r>
        <w:rPr>
          <w:rStyle w:val="VerbatimChar"/>
        </w:rPr>
        <w:t>gamma</w:t>
      </w:r>
      <w:r>
        <w:t>. The higher the value of gamma, the higher will be the multicollinearity and vice versa.</w:t>
      </w:r>
    </w:p>
    <w:p w:rsidR="0096095D" w:rsidRDefault="00CF708D">
      <w:pPr>
        <w:pStyle w:val="DefinitionTerm"/>
      </w:pPr>
      <w:r>
        <w:t>Correlation in response variables:</w:t>
      </w:r>
    </w:p>
    <w:p w:rsidR="0096095D" w:rsidRDefault="00CF708D">
      <w:pPr>
        <w:pStyle w:val="Definition"/>
      </w:pPr>
      <w:r>
        <w:t xml:space="preserve">Correlation among response variables is a less explored area. Here we have tried to explore that part with 4 levels of correlation in the response variables. We have used the </w:t>
      </w:r>
      <w:r>
        <w:rPr>
          <w:rStyle w:val="VerbatimChar"/>
        </w:rPr>
        <w:t>eta</w:t>
      </w:r>
      <w:r>
        <w:t xml:space="preserve"> (</w:t>
      </w:r>
      <m:oMath>
        <m:r>
          <w:rPr>
            <w:rFonts w:ascii="Cambria Math" w:hAnsi="Cambria Math"/>
          </w:rPr>
          <m:t>η</m:t>
        </m:r>
      </m:oMath>
      <w:r>
        <w:t xml:space="preserve">) parameter of </w:t>
      </w:r>
      <w:r>
        <w:rPr>
          <w:rStyle w:val="VerbatimChar"/>
        </w:rPr>
        <w:t>simrel</w:t>
      </w:r>
      <w:r>
        <w:t xml:space="preserve"> for controlling the decline in eigenvalues corresponding to the response variables as (6).</w:t>
      </w:r>
    </w:p>
    <w:p w:rsidR="0096095D" w:rsidRDefault="00CF708D">
      <w:pPr>
        <w:pStyle w:val="FirstParagraph"/>
      </w:pPr>
      <w:r>
        <w:lastRenderedPageBreak/>
        <w:t xml:space="preserve">Here, </w:t>
      </w:r>
      <m:oMath>
        <m:sSub>
          <m:sSubPr>
            <m:ctrlPr>
              <w:rPr>
                <w:rFonts w:ascii="Cambria Math" w:hAnsi="Cambria Math"/>
              </w:rPr>
            </m:ctrlPr>
          </m:sSubPr>
          <m:e>
            <m:r>
              <w:rPr>
                <w:rFonts w:ascii="Cambria Math" w:hAnsi="Cambria Math"/>
              </w:rPr>
              <m:t>κ</m:t>
            </m:r>
          </m:e>
          <m:sub>
            <m:r>
              <w:rPr>
                <w:rFonts w:ascii="Cambria Math" w:hAnsi="Cambria Math"/>
              </w:rPr>
              <m:t>j</m:t>
            </m:r>
          </m:sub>
        </m:sSub>
        <m:r>
          <w:rPr>
            <w:rFonts w:ascii="Cambria Math" w:hAnsi="Cambria Math"/>
          </w:rPr>
          <m:t>,i=1,2,…m</m:t>
        </m:r>
      </m:oMath>
      <w:r>
        <w:t xml:space="preserve"> are the eigenvalues of the response variables and </w:t>
      </w:r>
      <w:r>
        <w:rPr>
          <w:rStyle w:val="VerbatimChar"/>
        </w:rPr>
        <w:t>m</w:t>
      </w:r>
      <w:r>
        <w:t xml:space="preserve"> is the number of response variables. Here we have used 0, 0.4, 0.8 and 1.2 as different levels of </w:t>
      </w:r>
      <w:r>
        <w:rPr>
          <w:rStyle w:val="VerbatimChar"/>
        </w:rPr>
        <w:t>eta</w:t>
      </w:r>
      <w:r>
        <w:t>. The larger the value of eta, the larger will be the correlation between response variables and vice versa.</w:t>
      </w:r>
    </w:p>
    <w:p w:rsidR="0096095D" w:rsidRDefault="00CF708D">
      <w:pPr>
        <w:pStyle w:val="DefinitionTerm"/>
      </w:pPr>
      <w:r>
        <w:t>Position of predictor components relevant to the response:</w:t>
      </w:r>
    </w:p>
    <w:p w:rsidR="0096095D" w:rsidRDefault="00CF708D">
      <w:pPr>
        <w:pStyle w:val="Definition"/>
      </w:pPr>
      <w:r>
        <w:t xml:space="preserve">The principal components of the predictors are ordered. The first principal component captures most of the variation in the predictors. The second captures the most in the rest that is left by the first principal components and so on. In highly collinear predictors, the variation captured by the first few components is relatively high. However, if those components are not relevant for the response, prediction becomes difficult (Helland and Almøy </w:t>
      </w:r>
      <w:hyperlink w:anchor="ref-Helland1994b">
        <w:r>
          <w:rPr>
            <w:rStyle w:val="Hyperlink"/>
          </w:rPr>
          <w:t>1994</w:t>
        </w:r>
      </w:hyperlink>
      <w:r>
        <w:t>). Here, two levels of the positions of these relevant components are used as 1, 2, 3, 4 and 5, 6, 7, 8.</w:t>
      </w:r>
    </w:p>
    <w:p w:rsidR="0096095D" w:rsidRDefault="00CF708D">
      <w:pPr>
        <w:pStyle w:val="FirstParagraph"/>
      </w:pPr>
      <w:r>
        <w:t xml:space="preserve">Further, a complete factorial design from the levels of the above parameters gave us 32 designs. Each design is associated with a dataset having unique properties. Figure~2, shows all the designs. For each design and prediction method, 50 datasets were simulated as replicates. In total, there were </w:t>
      </w:r>
      <m:oMath>
        <m:r>
          <w:rPr>
            <w:rFonts w:ascii="Cambria Math" w:hAnsi="Cambria Math"/>
          </w:rPr>
          <m:t>5×32×50</m:t>
        </m:r>
      </m:oMath>
      <w:r>
        <w:t>, i.e. 8000 dataset simulated.</w:t>
      </w:r>
    </w:p>
    <w:p w:rsidR="0096095D" w:rsidRDefault="00CF708D">
      <w:pPr>
        <w:pStyle w:val="FigurewithCaption"/>
      </w:pPr>
      <w:r>
        <w:rPr>
          <w:noProof/>
        </w:rPr>
        <w:drawing>
          <wp:inline distT="0" distB="0" distL="0" distR="0">
            <wp:extent cx="5334000" cy="2667000"/>
            <wp:effectExtent l="0" t="0" r="0" b="0"/>
            <wp:docPr id="2" name="Picture" descr="Figure 2 Experimental Design of simulation parameters. Each point represents an unique data property."/>
            <wp:cNvGraphicFramePr/>
            <a:graphic xmlns:a="http://schemas.openxmlformats.org/drawingml/2006/main">
              <a:graphicData uri="http://schemas.openxmlformats.org/drawingml/2006/picture">
                <pic:pic xmlns:pic="http://schemas.openxmlformats.org/drawingml/2006/picture">
                  <pic:nvPicPr>
                    <pic:cNvPr id="0" name="Picture" descr="main_files/figure-docx/design-plot-1.png"/>
                    <pic:cNvPicPr>
                      <a:picLocks noChangeAspect="1" noChangeArrowheads="1"/>
                    </pic:cNvPicPr>
                  </pic:nvPicPr>
                  <pic:blipFill>
                    <a:blip r:embed="rId9"/>
                    <a:stretch>
                      <a:fillRect/>
                    </a:stretch>
                  </pic:blipFill>
                  <pic:spPr bwMode="auto">
                    <a:xfrm>
                      <a:off x="0" y="0"/>
                      <a:ext cx="5334000" cy="2667000"/>
                    </a:xfrm>
                    <a:prstGeom prst="rect">
                      <a:avLst/>
                    </a:prstGeom>
                    <a:noFill/>
                    <a:ln w="9525">
                      <a:noFill/>
                      <a:headEnd/>
                      <a:tailEnd/>
                    </a:ln>
                  </pic:spPr>
                </pic:pic>
              </a:graphicData>
            </a:graphic>
          </wp:inline>
        </w:drawing>
      </w:r>
    </w:p>
    <w:p w:rsidR="0096095D" w:rsidRDefault="00CF708D">
      <w:pPr>
        <w:pStyle w:val="ImageCaption"/>
      </w:pPr>
      <w:r>
        <w:t>Figure 2 Experimental Design of simulation parameters. Each point represents an unique data property.</w:t>
      </w:r>
    </w:p>
    <w:p w:rsidR="0096095D" w:rsidRDefault="00CF708D">
      <w:pPr>
        <w:pStyle w:val="DefinitionTerm"/>
      </w:pPr>
      <w:r>
        <w:t>Common parameters:</w:t>
      </w:r>
    </w:p>
    <w:p w:rsidR="0096095D" w:rsidRDefault="00CF708D">
      <w:pPr>
        <w:pStyle w:val="Definition"/>
      </w:pPr>
      <w:r>
        <w:t xml:space="preserve">Each dataset was simulated with </w:t>
      </w:r>
      <m:oMath>
        <m:r>
          <w:rPr>
            <w:rFonts w:ascii="Cambria Math" w:hAnsi="Cambria Math"/>
          </w:rPr>
          <m:t>n=100</m:t>
        </m:r>
      </m:oMath>
      <w:r>
        <w:t xml:space="preserve"> number of observation and </w:t>
      </w:r>
      <m:oMath>
        <m:r>
          <w:rPr>
            <w:rFonts w:ascii="Cambria Math" w:hAnsi="Cambria Math"/>
          </w:rPr>
          <m:t>m=4</m:t>
        </m:r>
      </m:oMath>
      <w:r>
        <w:t xml:space="preserve"> response variables. Further, the coefficient of determination corresponding to each response components in all the designs is set to and 0.8. In addition, we have assumed that there is only one informative response component. Hence, the informative response component is rotated orthogonally together with three uninformative response components to generate four response variables. </w:t>
      </w:r>
      <w:r>
        <w:lastRenderedPageBreak/>
        <w:t xml:space="preserve">This spread out the information in all simulated response variables. For further details on the simulation tool see (Rimal, Almøy, and Sæbø </w:t>
      </w:r>
      <w:hyperlink w:anchor="ref-Rimal2018">
        <w:r>
          <w:rPr>
            <w:rStyle w:val="Hyperlink"/>
          </w:rPr>
          <w:t>2018</w:t>
        </w:r>
      </w:hyperlink>
      <w:r>
        <w:t>).</w:t>
      </w:r>
    </w:p>
    <w:p w:rsidR="0096095D" w:rsidRDefault="00CF708D">
      <w:pPr>
        <w:pStyle w:val="FirstParagraph"/>
      </w:pPr>
      <w:r>
        <w:t>An example of simulation parameters for the first design is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693"/>
        <w:gridCol w:w="5488"/>
      </w:tblGrid>
      <w:tr w:rsidR="003B744F" w:rsidRPr="00955245" w:rsidTr="008C502E">
        <w:trPr>
          <w:cantSplit/>
        </w:trPr>
        <w:tc>
          <w:tcPr>
            <w:tcW w:w="1101" w:type="dxa"/>
            <w:shd w:val="clear" w:color="auto" w:fill="auto"/>
          </w:tcPr>
          <w:p w:rsidR="003B744F" w:rsidRPr="00955245" w:rsidRDefault="003B744F" w:rsidP="00CF708D">
            <w:pPr>
              <w:pStyle w:val="SourceCode"/>
              <w:rPr>
                <w:sz w:val="20"/>
                <w:szCs w:val="20"/>
              </w:rPr>
            </w:pPr>
            <w:proofErr w:type="spellStart"/>
            <w:r w:rsidRPr="00955245">
              <w:rPr>
                <w:rStyle w:val="KeywordTok"/>
                <w:szCs w:val="20"/>
              </w:rPr>
              <w:t>simrel</w:t>
            </w:r>
            <w:proofErr w:type="spellEnd"/>
            <w:r w:rsidRPr="00955245">
              <w:rPr>
                <w:rStyle w:val="NormalTok"/>
                <w:sz w:val="20"/>
                <w:szCs w:val="20"/>
              </w:rPr>
              <w:t>(</w:t>
            </w:r>
          </w:p>
        </w:tc>
        <w:tc>
          <w:tcPr>
            <w:tcW w:w="2693" w:type="dxa"/>
            <w:shd w:val="clear" w:color="auto" w:fill="auto"/>
          </w:tcPr>
          <w:p w:rsidR="003B744F" w:rsidRPr="00955245" w:rsidRDefault="003B744F" w:rsidP="00CF708D">
            <w:pPr>
              <w:pStyle w:val="SourceCode"/>
              <w:rPr>
                <w:sz w:val="20"/>
                <w:szCs w:val="20"/>
              </w:rPr>
            </w:pPr>
          </w:p>
        </w:tc>
        <w:tc>
          <w:tcPr>
            <w:tcW w:w="5488" w:type="dxa"/>
            <w:shd w:val="clear" w:color="auto" w:fill="auto"/>
          </w:tcPr>
          <w:p w:rsidR="003B744F" w:rsidRPr="00955245" w:rsidRDefault="003B744F" w:rsidP="00955245">
            <w:pPr>
              <w:pStyle w:val="SourceCode"/>
              <w:rPr>
                <w:sz w:val="20"/>
                <w:szCs w:val="20"/>
              </w:rPr>
            </w:pPr>
          </w:p>
        </w:tc>
      </w:tr>
      <w:tr w:rsidR="003B744F" w:rsidRPr="00955245" w:rsidTr="008C502E">
        <w:trPr>
          <w:cantSplit/>
        </w:trPr>
        <w:tc>
          <w:tcPr>
            <w:tcW w:w="1101" w:type="dxa"/>
            <w:shd w:val="clear" w:color="auto" w:fill="auto"/>
          </w:tcPr>
          <w:p w:rsidR="003B744F" w:rsidRPr="00955245" w:rsidRDefault="003B744F" w:rsidP="003B744F">
            <w:pPr>
              <w:pStyle w:val="SourceCode"/>
              <w:jc w:val="right"/>
              <w:rPr>
                <w:rStyle w:val="DataTypeTok"/>
                <w:szCs w:val="20"/>
              </w:rPr>
            </w:pPr>
            <w:r w:rsidRPr="00955245">
              <w:rPr>
                <w:rStyle w:val="NormalTok"/>
                <w:sz w:val="20"/>
                <w:szCs w:val="20"/>
              </w:rPr>
              <w:t xml:space="preserve">    </w:t>
            </w:r>
            <w:r w:rsidRPr="00955245">
              <w:rPr>
                <w:rStyle w:val="DataTypeTok"/>
                <w:szCs w:val="20"/>
              </w:rPr>
              <w:t>n</w:t>
            </w:r>
          </w:p>
        </w:tc>
        <w:tc>
          <w:tcPr>
            <w:tcW w:w="2693" w:type="dxa"/>
            <w:shd w:val="clear" w:color="auto" w:fill="auto"/>
          </w:tcPr>
          <w:p w:rsidR="003B744F" w:rsidRPr="00955245" w:rsidRDefault="003B744F" w:rsidP="00CF708D">
            <w:pPr>
              <w:pStyle w:val="SourceCode"/>
              <w:rPr>
                <w:rStyle w:val="NormalTok"/>
                <w:sz w:val="20"/>
                <w:szCs w:val="20"/>
              </w:rPr>
            </w:pPr>
            <w:r w:rsidRPr="00955245">
              <w:rPr>
                <w:rStyle w:val="DataTypeTok"/>
                <w:szCs w:val="20"/>
              </w:rPr>
              <w:t>=</w:t>
            </w:r>
            <w:r w:rsidRPr="00955245">
              <w:rPr>
                <w:rStyle w:val="NormalTok"/>
                <w:sz w:val="20"/>
                <w:szCs w:val="20"/>
              </w:rPr>
              <w:t xml:space="preserve"> </w:t>
            </w:r>
            <w:r w:rsidRPr="00955245">
              <w:rPr>
                <w:rStyle w:val="DecValTok"/>
                <w:szCs w:val="20"/>
              </w:rPr>
              <w:t>100</w:t>
            </w:r>
            <w:r w:rsidRPr="00955245">
              <w:rPr>
                <w:rStyle w:val="NormalTok"/>
                <w:sz w:val="20"/>
                <w:szCs w:val="20"/>
              </w:rPr>
              <w:t>,</w:t>
            </w:r>
          </w:p>
        </w:tc>
        <w:tc>
          <w:tcPr>
            <w:tcW w:w="5488" w:type="dxa"/>
            <w:shd w:val="clear" w:color="auto" w:fill="auto"/>
          </w:tcPr>
          <w:p w:rsidR="003B744F" w:rsidRPr="00955245" w:rsidRDefault="003B744F" w:rsidP="00955245">
            <w:pPr>
              <w:pStyle w:val="SourceCode"/>
              <w:numPr>
                <w:ilvl w:val="0"/>
                <w:numId w:val="15"/>
              </w:numPr>
              <w:rPr>
                <w:sz w:val="20"/>
                <w:szCs w:val="20"/>
              </w:rPr>
            </w:pPr>
            <w:r w:rsidRPr="00955245">
              <w:rPr>
                <w:rStyle w:val="NormalTok"/>
                <w:sz w:val="20"/>
                <w:szCs w:val="20"/>
              </w:rPr>
              <w:t>Training samples</w:t>
            </w:r>
          </w:p>
        </w:tc>
      </w:tr>
      <w:tr w:rsidR="003B744F" w:rsidRPr="00955245" w:rsidTr="008C502E">
        <w:trPr>
          <w:cantSplit/>
        </w:trPr>
        <w:tc>
          <w:tcPr>
            <w:tcW w:w="1101" w:type="dxa"/>
            <w:shd w:val="clear" w:color="auto" w:fill="auto"/>
          </w:tcPr>
          <w:p w:rsidR="003B744F" w:rsidRPr="00955245" w:rsidRDefault="003B744F" w:rsidP="003B744F">
            <w:pPr>
              <w:pStyle w:val="SourceCode"/>
              <w:jc w:val="right"/>
              <w:rPr>
                <w:rStyle w:val="DataTypeTok"/>
                <w:szCs w:val="20"/>
              </w:rPr>
            </w:pPr>
            <w:r w:rsidRPr="00955245">
              <w:rPr>
                <w:rStyle w:val="NormalTok"/>
                <w:sz w:val="20"/>
                <w:szCs w:val="20"/>
              </w:rPr>
              <w:t xml:space="preserve">    </w:t>
            </w:r>
            <w:r w:rsidRPr="00955245">
              <w:rPr>
                <w:rStyle w:val="DataTypeTok"/>
                <w:szCs w:val="20"/>
              </w:rPr>
              <w:t>p</w:t>
            </w:r>
          </w:p>
        </w:tc>
        <w:tc>
          <w:tcPr>
            <w:tcW w:w="2693" w:type="dxa"/>
            <w:shd w:val="clear" w:color="auto" w:fill="auto"/>
          </w:tcPr>
          <w:p w:rsidR="003B744F" w:rsidRPr="00955245" w:rsidRDefault="003B744F" w:rsidP="00CF708D">
            <w:pPr>
              <w:pStyle w:val="SourceCode"/>
              <w:rPr>
                <w:rStyle w:val="NormalTok"/>
                <w:sz w:val="20"/>
                <w:szCs w:val="20"/>
              </w:rPr>
            </w:pPr>
            <w:r w:rsidRPr="00955245">
              <w:rPr>
                <w:rStyle w:val="DataTypeTok"/>
                <w:szCs w:val="20"/>
              </w:rPr>
              <w:t>=</w:t>
            </w:r>
            <w:r w:rsidRPr="00955245">
              <w:rPr>
                <w:rStyle w:val="NormalTok"/>
                <w:sz w:val="20"/>
                <w:szCs w:val="20"/>
              </w:rPr>
              <w:t xml:space="preserve"> </w:t>
            </w:r>
            <w:r w:rsidRPr="00955245">
              <w:rPr>
                <w:rStyle w:val="DecValTok"/>
              </w:rPr>
              <w:t>20</w:t>
            </w:r>
            <w:r w:rsidRPr="00955245">
              <w:rPr>
                <w:rStyle w:val="NormalTok"/>
                <w:sz w:val="20"/>
                <w:szCs w:val="20"/>
              </w:rPr>
              <w:t>,</w:t>
            </w:r>
          </w:p>
        </w:tc>
        <w:tc>
          <w:tcPr>
            <w:tcW w:w="5488" w:type="dxa"/>
            <w:shd w:val="clear" w:color="auto" w:fill="auto"/>
          </w:tcPr>
          <w:p w:rsidR="003B744F" w:rsidRPr="00955245" w:rsidRDefault="003B744F" w:rsidP="00955245">
            <w:pPr>
              <w:pStyle w:val="SourceCode"/>
              <w:numPr>
                <w:ilvl w:val="0"/>
                <w:numId w:val="15"/>
              </w:numPr>
              <w:rPr>
                <w:sz w:val="20"/>
                <w:szCs w:val="20"/>
              </w:rPr>
            </w:pPr>
            <w:r w:rsidRPr="00955245">
              <w:rPr>
                <w:rStyle w:val="NormalTok"/>
                <w:sz w:val="20"/>
                <w:szCs w:val="20"/>
              </w:rPr>
              <w:t>Predictors</w:t>
            </w:r>
          </w:p>
        </w:tc>
      </w:tr>
      <w:tr w:rsidR="003B744F" w:rsidRPr="00955245" w:rsidTr="008C502E">
        <w:trPr>
          <w:cantSplit/>
        </w:trPr>
        <w:tc>
          <w:tcPr>
            <w:tcW w:w="1101" w:type="dxa"/>
            <w:shd w:val="clear" w:color="auto" w:fill="auto"/>
          </w:tcPr>
          <w:p w:rsidR="003B744F" w:rsidRPr="00955245" w:rsidRDefault="003B744F" w:rsidP="003B744F">
            <w:pPr>
              <w:pStyle w:val="SourceCode"/>
              <w:jc w:val="right"/>
              <w:rPr>
                <w:rStyle w:val="DataTypeTok"/>
                <w:szCs w:val="20"/>
              </w:rPr>
            </w:pPr>
            <w:r w:rsidRPr="00955245">
              <w:rPr>
                <w:rStyle w:val="NormalTok"/>
                <w:sz w:val="20"/>
                <w:szCs w:val="20"/>
              </w:rPr>
              <w:t xml:space="preserve">    </w:t>
            </w:r>
            <w:r w:rsidRPr="00955245">
              <w:rPr>
                <w:rStyle w:val="DataTypeTok"/>
                <w:szCs w:val="20"/>
              </w:rPr>
              <w:t>m</w:t>
            </w:r>
          </w:p>
        </w:tc>
        <w:tc>
          <w:tcPr>
            <w:tcW w:w="2693" w:type="dxa"/>
            <w:shd w:val="clear" w:color="auto" w:fill="auto"/>
          </w:tcPr>
          <w:p w:rsidR="003B744F" w:rsidRPr="00955245" w:rsidRDefault="003B744F" w:rsidP="00CF708D">
            <w:pPr>
              <w:pStyle w:val="SourceCode"/>
              <w:rPr>
                <w:rStyle w:val="NormalTok"/>
                <w:sz w:val="20"/>
                <w:szCs w:val="20"/>
              </w:rPr>
            </w:pPr>
            <w:r w:rsidRPr="00955245">
              <w:rPr>
                <w:rStyle w:val="DataTypeTok"/>
                <w:szCs w:val="20"/>
              </w:rPr>
              <w:t>=</w:t>
            </w:r>
            <w:r w:rsidRPr="00955245">
              <w:rPr>
                <w:rStyle w:val="NormalTok"/>
                <w:sz w:val="20"/>
                <w:szCs w:val="20"/>
              </w:rPr>
              <w:t xml:space="preserve"> </w:t>
            </w:r>
            <w:r w:rsidRPr="00955245">
              <w:rPr>
                <w:rStyle w:val="DecValTok"/>
                <w:szCs w:val="20"/>
              </w:rPr>
              <w:t>4</w:t>
            </w:r>
            <w:r w:rsidRPr="00955245">
              <w:rPr>
                <w:rStyle w:val="NormalTok"/>
                <w:sz w:val="20"/>
                <w:szCs w:val="20"/>
              </w:rPr>
              <w:t>,</w:t>
            </w:r>
          </w:p>
        </w:tc>
        <w:tc>
          <w:tcPr>
            <w:tcW w:w="5488" w:type="dxa"/>
            <w:shd w:val="clear" w:color="auto" w:fill="auto"/>
          </w:tcPr>
          <w:p w:rsidR="003B744F" w:rsidRPr="00955245" w:rsidRDefault="003B744F" w:rsidP="00955245">
            <w:pPr>
              <w:pStyle w:val="SourceCode"/>
              <w:numPr>
                <w:ilvl w:val="0"/>
                <w:numId w:val="15"/>
              </w:numPr>
              <w:rPr>
                <w:sz w:val="20"/>
                <w:szCs w:val="20"/>
              </w:rPr>
            </w:pPr>
            <w:r w:rsidRPr="00955245">
              <w:rPr>
                <w:rStyle w:val="NormalTok"/>
                <w:sz w:val="20"/>
                <w:szCs w:val="20"/>
              </w:rPr>
              <w:t>Responses</w:t>
            </w:r>
          </w:p>
        </w:tc>
      </w:tr>
      <w:tr w:rsidR="003B744F" w:rsidRPr="00955245" w:rsidTr="008C502E">
        <w:trPr>
          <w:cantSplit/>
        </w:trPr>
        <w:tc>
          <w:tcPr>
            <w:tcW w:w="1101" w:type="dxa"/>
            <w:shd w:val="clear" w:color="auto" w:fill="auto"/>
          </w:tcPr>
          <w:p w:rsidR="003B744F" w:rsidRPr="00955245" w:rsidRDefault="003B744F" w:rsidP="003B744F">
            <w:pPr>
              <w:pStyle w:val="SourceCode"/>
              <w:jc w:val="right"/>
              <w:rPr>
                <w:rStyle w:val="DataTypeTok"/>
                <w:szCs w:val="20"/>
              </w:rPr>
            </w:pPr>
            <w:r w:rsidRPr="00955245">
              <w:rPr>
                <w:rStyle w:val="NormalTok"/>
                <w:sz w:val="20"/>
                <w:szCs w:val="20"/>
              </w:rPr>
              <w:t xml:space="preserve">    </w:t>
            </w:r>
            <w:r w:rsidRPr="00955245">
              <w:rPr>
                <w:rStyle w:val="DataTypeTok"/>
                <w:szCs w:val="20"/>
              </w:rPr>
              <w:t>q</w:t>
            </w:r>
          </w:p>
        </w:tc>
        <w:tc>
          <w:tcPr>
            <w:tcW w:w="2693" w:type="dxa"/>
            <w:shd w:val="clear" w:color="auto" w:fill="auto"/>
          </w:tcPr>
          <w:p w:rsidR="003B744F" w:rsidRPr="00955245" w:rsidRDefault="003B744F" w:rsidP="00CF708D">
            <w:pPr>
              <w:pStyle w:val="SourceCode"/>
              <w:rPr>
                <w:rStyle w:val="NormalTok"/>
                <w:sz w:val="20"/>
                <w:szCs w:val="20"/>
              </w:rPr>
            </w:pPr>
            <w:r w:rsidRPr="00955245">
              <w:rPr>
                <w:rStyle w:val="DataTypeTok"/>
                <w:szCs w:val="20"/>
              </w:rPr>
              <w:t>=</w:t>
            </w:r>
            <w:r w:rsidRPr="00955245">
              <w:rPr>
                <w:rStyle w:val="NormalTok"/>
                <w:sz w:val="20"/>
                <w:szCs w:val="20"/>
              </w:rPr>
              <w:t xml:space="preserve"> </w:t>
            </w:r>
            <w:r w:rsidRPr="00955245">
              <w:rPr>
                <w:rStyle w:val="DecValTok"/>
                <w:szCs w:val="20"/>
              </w:rPr>
              <w:t>20</w:t>
            </w:r>
            <w:r w:rsidRPr="00955245">
              <w:rPr>
                <w:rStyle w:val="NormalTok"/>
                <w:sz w:val="20"/>
                <w:szCs w:val="20"/>
              </w:rPr>
              <w:t>,</w:t>
            </w:r>
          </w:p>
        </w:tc>
        <w:tc>
          <w:tcPr>
            <w:tcW w:w="5488" w:type="dxa"/>
            <w:shd w:val="clear" w:color="auto" w:fill="auto"/>
          </w:tcPr>
          <w:p w:rsidR="003B744F" w:rsidRPr="00955245" w:rsidRDefault="003B744F" w:rsidP="00955245">
            <w:pPr>
              <w:pStyle w:val="SourceCode"/>
              <w:numPr>
                <w:ilvl w:val="0"/>
                <w:numId w:val="15"/>
              </w:numPr>
              <w:rPr>
                <w:sz w:val="20"/>
                <w:szCs w:val="20"/>
              </w:rPr>
            </w:pPr>
            <w:r w:rsidRPr="00955245">
              <w:rPr>
                <w:rStyle w:val="NormalTok"/>
                <w:sz w:val="20"/>
                <w:szCs w:val="20"/>
              </w:rPr>
              <w:t>Relevant predictors</w:t>
            </w:r>
          </w:p>
        </w:tc>
      </w:tr>
      <w:tr w:rsidR="003B744F" w:rsidRPr="00955245" w:rsidTr="008C502E">
        <w:trPr>
          <w:cantSplit/>
        </w:trPr>
        <w:tc>
          <w:tcPr>
            <w:tcW w:w="1101" w:type="dxa"/>
            <w:shd w:val="clear" w:color="auto" w:fill="auto"/>
          </w:tcPr>
          <w:p w:rsidR="003B744F" w:rsidRPr="00955245" w:rsidRDefault="003B744F" w:rsidP="003B744F">
            <w:pPr>
              <w:pStyle w:val="SourceCode"/>
              <w:jc w:val="right"/>
              <w:rPr>
                <w:rStyle w:val="DataTypeTok"/>
                <w:szCs w:val="20"/>
              </w:rPr>
            </w:pPr>
            <w:proofErr w:type="spellStart"/>
            <w:r w:rsidRPr="00955245">
              <w:rPr>
                <w:rStyle w:val="DataTypeTok"/>
                <w:szCs w:val="20"/>
              </w:rPr>
              <w:t>relpos</w:t>
            </w:r>
            <w:proofErr w:type="spellEnd"/>
          </w:p>
        </w:tc>
        <w:tc>
          <w:tcPr>
            <w:tcW w:w="2693" w:type="dxa"/>
            <w:shd w:val="clear" w:color="auto" w:fill="auto"/>
          </w:tcPr>
          <w:p w:rsidR="003B744F" w:rsidRPr="00955245" w:rsidRDefault="003B744F" w:rsidP="00CF708D">
            <w:pPr>
              <w:pStyle w:val="SourceCode"/>
              <w:rPr>
                <w:rStyle w:val="NormalTok"/>
                <w:sz w:val="20"/>
                <w:szCs w:val="20"/>
              </w:rPr>
            </w:pPr>
            <w:r w:rsidRPr="00955245">
              <w:rPr>
                <w:rStyle w:val="DataTypeTok"/>
                <w:szCs w:val="20"/>
              </w:rPr>
              <w:t>=</w:t>
            </w:r>
            <w:r w:rsidRPr="00955245">
              <w:rPr>
                <w:rStyle w:val="NormalTok"/>
                <w:sz w:val="20"/>
                <w:szCs w:val="20"/>
              </w:rPr>
              <w:t xml:space="preserve"> </w:t>
            </w:r>
            <w:r w:rsidRPr="00955245">
              <w:rPr>
                <w:rStyle w:val="KeywordTok"/>
              </w:rPr>
              <w:t>list</w:t>
            </w:r>
            <w:r w:rsidRPr="00955245">
              <w:rPr>
                <w:rStyle w:val="NormalTok"/>
                <w:sz w:val="20"/>
                <w:szCs w:val="20"/>
              </w:rPr>
              <w:t>(</w:t>
            </w:r>
            <w:r w:rsidRPr="00955245">
              <w:rPr>
                <w:rStyle w:val="KeywordTok"/>
                <w:szCs w:val="20"/>
              </w:rPr>
              <w:t>c</w:t>
            </w:r>
            <w:r w:rsidRPr="00955245">
              <w:rPr>
                <w:rStyle w:val="NormalTok"/>
                <w:sz w:val="20"/>
                <w:szCs w:val="20"/>
              </w:rPr>
              <w:t>(</w:t>
            </w:r>
            <w:r w:rsidRPr="00955245">
              <w:rPr>
                <w:rStyle w:val="DecValTok"/>
                <w:szCs w:val="20"/>
              </w:rPr>
              <w:t>1</w:t>
            </w:r>
            <w:r w:rsidRPr="00955245">
              <w:rPr>
                <w:rStyle w:val="NormalTok"/>
                <w:sz w:val="20"/>
                <w:szCs w:val="20"/>
              </w:rPr>
              <w:t xml:space="preserve">, </w:t>
            </w:r>
            <w:r w:rsidRPr="00955245">
              <w:rPr>
                <w:rStyle w:val="DecValTok"/>
                <w:szCs w:val="20"/>
              </w:rPr>
              <w:t>2</w:t>
            </w:r>
            <w:r w:rsidRPr="00955245">
              <w:rPr>
                <w:rStyle w:val="NormalTok"/>
                <w:sz w:val="20"/>
                <w:szCs w:val="20"/>
              </w:rPr>
              <w:t xml:space="preserve">, </w:t>
            </w:r>
            <w:r w:rsidRPr="00955245">
              <w:rPr>
                <w:rStyle w:val="DecValTok"/>
                <w:szCs w:val="20"/>
              </w:rPr>
              <w:t>3</w:t>
            </w:r>
            <w:r w:rsidRPr="00955245">
              <w:rPr>
                <w:rStyle w:val="NormalTok"/>
                <w:sz w:val="20"/>
                <w:szCs w:val="20"/>
              </w:rPr>
              <w:t xml:space="preserve">, </w:t>
            </w:r>
            <w:r w:rsidRPr="00955245">
              <w:rPr>
                <w:rStyle w:val="DecValTok"/>
                <w:szCs w:val="20"/>
              </w:rPr>
              <w:t>4</w:t>
            </w:r>
            <w:r w:rsidRPr="00955245">
              <w:rPr>
                <w:rStyle w:val="NormalTok"/>
                <w:sz w:val="20"/>
                <w:szCs w:val="20"/>
              </w:rPr>
              <w:t>)),</w:t>
            </w:r>
          </w:p>
        </w:tc>
        <w:tc>
          <w:tcPr>
            <w:tcW w:w="5488" w:type="dxa"/>
            <w:shd w:val="clear" w:color="auto" w:fill="auto"/>
          </w:tcPr>
          <w:p w:rsidR="003B744F" w:rsidRPr="00955245" w:rsidRDefault="003B744F" w:rsidP="00955245">
            <w:pPr>
              <w:pStyle w:val="SourceCode"/>
              <w:numPr>
                <w:ilvl w:val="0"/>
                <w:numId w:val="15"/>
              </w:numPr>
              <w:rPr>
                <w:sz w:val="20"/>
                <w:szCs w:val="20"/>
              </w:rPr>
            </w:pPr>
            <w:r w:rsidRPr="00955245">
              <w:rPr>
                <w:rStyle w:val="NormalTok"/>
                <w:sz w:val="20"/>
                <w:szCs w:val="20"/>
              </w:rPr>
              <w:t>Relevant predictor components index</w:t>
            </w:r>
          </w:p>
        </w:tc>
      </w:tr>
      <w:tr w:rsidR="003B744F" w:rsidRPr="00955245" w:rsidTr="008C502E">
        <w:trPr>
          <w:cantSplit/>
        </w:trPr>
        <w:tc>
          <w:tcPr>
            <w:tcW w:w="1101" w:type="dxa"/>
            <w:shd w:val="clear" w:color="auto" w:fill="auto"/>
          </w:tcPr>
          <w:p w:rsidR="003B744F" w:rsidRPr="00955245" w:rsidRDefault="003B744F" w:rsidP="003B744F">
            <w:pPr>
              <w:pStyle w:val="SourceCode"/>
              <w:jc w:val="right"/>
              <w:rPr>
                <w:rStyle w:val="DataTypeTok"/>
                <w:szCs w:val="20"/>
              </w:rPr>
            </w:pPr>
            <w:r w:rsidRPr="00955245">
              <w:rPr>
                <w:rStyle w:val="NormalTok"/>
                <w:sz w:val="20"/>
                <w:szCs w:val="20"/>
              </w:rPr>
              <w:t xml:space="preserve">    </w:t>
            </w:r>
            <w:r w:rsidRPr="00955245">
              <w:rPr>
                <w:rStyle w:val="DataTypeTok"/>
                <w:szCs w:val="20"/>
              </w:rPr>
              <w:t>eta</w:t>
            </w:r>
          </w:p>
        </w:tc>
        <w:tc>
          <w:tcPr>
            <w:tcW w:w="2693" w:type="dxa"/>
            <w:shd w:val="clear" w:color="auto" w:fill="auto"/>
          </w:tcPr>
          <w:p w:rsidR="003B744F" w:rsidRPr="00955245" w:rsidRDefault="003B744F" w:rsidP="00CF708D">
            <w:pPr>
              <w:pStyle w:val="SourceCode"/>
              <w:rPr>
                <w:rStyle w:val="NormalTok"/>
                <w:sz w:val="20"/>
                <w:szCs w:val="20"/>
              </w:rPr>
            </w:pPr>
            <w:r w:rsidRPr="00955245">
              <w:rPr>
                <w:rStyle w:val="DataTypeTok"/>
                <w:szCs w:val="20"/>
              </w:rPr>
              <w:t>=</w:t>
            </w:r>
            <w:r w:rsidRPr="00955245">
              <w:rPr>
                <w:rStyle w:val="NormalTok"/>
                <w:sz w:val="20"/>
                <w:szCs w:val="20"/>
              </w:rPr>
              <w:t xml:space="preserve"> </w:t>
            </w:r>
            <w:r w:rsidRPr="00955245">
              <w:rPr>
                <w:rStyle w:val="DecValTok"/>
                <w:szCs w:val="20"/>
              </w:rPr>
              <w:t>0</w:t>
            </w:r>
            <w:r w:rsidRPr="00955245">
              <w:rPr>
                <w:rStyle w:val="NormalTok"/>
                <w:sz w:val="20"/>
                <w:szCs w:val="20"/>
              </w:rPr>
              <w:t>,</w:t>
            </w:r>
          </w:p>
        </w:tc>
        <w:tc>
          <w:tcPr>
            <w:tcW w:w="5488" w:type="dxa"/>
            <w:shd w:val="clear" w:color="auto" w:fill="auto"/>
          </w:tcPr>
          <w:p w:rsidR="003B744F" w:rsidRPr="00955245" w:rsidRDefault="003B744F" w:rsidP="00955245">
            <w:pPr>
              <w:pStyle w:val="SourceCode"/>
              <w:numPr>
                <w:ilvl w:val="0"/>
                <w:numId w:val="15"/>
              </w:numPr>
              <w:rPr>
                <w:sz w:val="20"/>
                <w:szCs w:val="20"/>
              </w:rPr>
            </w:pPr>
            <w:r w:rsidRPr="00955245">
              <w:rPr>
                <w:rStyle w:val="NormalTok"/>
                <w:sz w:val="20"/>
                <w:szCs w:val="20"/>
              </w:rPr>
              <w:t>Decay factor of response eigenvalues</w:t>
            </w:r>
          </w:p>
        </w:tc>
      </w:tr>
      <w:tr w:rsidR="003B744F" w:rsidRPr="00955245" w:rsidTr="008C502E">
        <w:trPr>
          <w:cantSplit/>
        </w:trPr>
        <w:tc>
          <w:tcPr>
            <w:tcW w:w="1101" w:type="dxa"/>
            <w:shd w:val="clear" w:color="auto" w:fill="auto"/>
          </w:tcPr>
          <w:p w:rsidR="003B744F" w:rsidRPr="00955245" w:rsidRDefault="003B744F" w:rsidP="003B744F">
            <w:pPr>
              <w:pStyle w:val="SourceCode"/>
              <w:jc w:val="right"/>
              <w:rPr>
                <w:rStyle w:val="DataTypeTok"/>
                <w:szCs w:val="20"/>
              </w:rPr>
            </w:pPr>
            <w:r w:rsidRPr="00955245">
              <w:rPr>
                <w:rStyle w:val="DataTypeTok"/>
                <w:szCs w:val="20"/>
              </w:rPr>
              <w:t>gamma</w:t>
            </w:r>
          </w:p>
        </w:tc>
        <w:tc>
          <w:tcPr>
            <w:tcW w:w="2693" w:type="dxa"/>
            <w:shd w:val="clear" w:color="auto" w:fill="auto"/>
          </w:tcPr>
          <w:p w:rsidR="003B744F" w:rsidRPr="00955245" w:rsidRDefault="003B744F" w:rsidP="00CF708D">
            <w:pPr>
              <w:pStyle w:val="SourceCode"/>
              <w:rPr>
                <w:rStyle w:val="NormalTok"/>
                <w:sz w:val="20"/>
                <w:szCs w:val="20"/>
              </w:rPr>
            </w:pPr>
            <w:r w:rsidRPr="00955245">
              <w:rPr>
                <w:rStyle w:val="DataTypeTok"/>
                <w:szCs w:val="20"/>
              </w:rPr>
              <w:t>=</w:t>
            </w:r>
            <w:r w:rsidRPr="00955245">
              <w:rPr>
                <w:rStyle w:val="NormalTok"/>
                <w:sz w:val="20"/>
                <w:szCs w:val="20"/>
              </w:rPr>
              <w:t xml:space="preserve"> </w:t>
            </w:r>
            <w:r w:rsidRPr="00955245">
              <w:rPr>
                <w:rStyle w:val="FloatTok"/>
                <w:szCs w:val="20"/>
              </w:rPr>
              <w:t>0.2</w:t>
            </w:r>
            <w:r w:rsidRPr="00955245">
              <w:rPr>
                <w:rStyle w:val="NormalTok"/>
                <w:sz w:val="20"/>
                <w:szCs w:val="20"/>
              </w:rPr>
              <w:t>,</w:t>
            </w:r>
          </w:p>
        </w:tc>
        <w:tc>
          <w:tcPr>
            <w:tcW w:w="5488" w:type="dxa"/>
            <w:shd w:val="clear" w:color="auto" w:fill="auto"/>
          </w:tcPr>
          <w:p w:rsidR="003B744F" w:rsidRPr="00955245" w:rsidRDefault="003B744F" w:rsidP="00955245">
            <w:pPr>
              <w:pStyle w:val="SourceCode"/>
              <w:numPr>
                <w:ilvl w:val="0"/>
                <w:numId w:val="15"/>
              </w:numPr>
              <w:rPr>
                <w:sz w:val="20"/>
                <w:szCs w:val="20"/>
              </w:rPr>
            </w:pPr>
            <w:r w:rsidRPr="00955245">
              <w:rPr>
                <w:rStyle w:val="NormalTok"/>
                <w:sz w:val="20"/>
                <w:szCs w:val="20"/>
              </w:rPr>
              <w:t>Decay factor of predictor eigenvalues</w:t>
            </w:r>
          </w:p>
        </w:tc>
      </w:tr>
      <w:tr w:rsidR="003B744F" w:rsidRPr="00955245" w:rsidTr="008C502E">
        <w:trPr>
          <w:cantSplit/>
        </w:trPr>
        <w:tc>
          <w:tcPr>
            <w:tcW w:w="1101" w:type="dxa"/>
            <w:shd w:val="clear" w:color="auto" w:fill="auto"/>
          </w:tcPr>
          <w:p w:rsidR="003B744F" w:rsidRPr="00955245" w:rsidRDefault="003B744F" w:rsidP="003B744F">
            <w:pPr>
              <w:pStyle w:val="SourceCode"/>
              <w:jc w:val="right"/>
              <w:rPr>
                <w:rStyle w:val="DataTypeTok"/>
                <w:szCs w:val="20"/>
              </w:rPr>
            </w:pPr>
            <w:r w:rsidRPr="00955245">
              <w:rPr>
                <w:rStyle w:val="NormalTok"/>
                <w:sz w:val="20"/>
                <w:szCs w:val="20"/>
              </w:rPr>
              <w:t xml:space="preserve">    </w:t>
            </w:r>
            <w:r w:rsidRPr="00955245">
              <w:rPr>
                <w:rStyle w:val="DataTypeTok"/>
                <w:szCs w:val="20"/>
              </w:rPr>
              <w:t>R2</w:t>
            </w:r>
          </w:p>
        </w:tc>
        <w:tc>
          <w:tcPr>
            <w:tcW w:w="2693" w:type="dxa"/>
            <w:shd w:val="clear" w:color="auto" w:fill="auto"/>
          </w:tcPr>
          <w:p w:rsidR="003B744F" w:rsidRPr="00955245" w:rsidRDefault="003B744F" w:rsidP="00CF708D">
            <w:pPr>
              <w:pStyle w:val="SourceCode"/>
              <w:rPr>
                <w:rStyle w:val="NormalTok"/>
                <w:sz w:val="20"/>
                <w:szCs w:val="20"/>
              </w:rPr>
            </w:pPr>
            <w:r w:rsidRPr="00955245">
              <w:rPr>
                <w:rStyle w:val="DataTypeTok"/>
                <w:szCs w:val="20"/>
              </w:rPr>
              <w:t>=</w:t>
            </w:r>
            <w:r w:rsidRPr="00955245">
              <w:rPr>
                <w:rStyle w:val="NormalTok"/>
                <w:sz w:val="20"/>
                <w:szCs w:val="20"/>
              </w:rPr>
              <w:t xml:space="preserve"> </w:t>
            </w:r>
            <w:r w:rsidRPr="00955245">
              <w:rPr>
                <w:rStyle w:val="FloatTok"/>
                <w:szCs w:val="20"/>
              </w:rPr>
              <w:t>0.8</w:t>
            </w:r>
            <w:r w:rsidRPr="00955245">
              <w:rPr>
                <w:rStyle w:val="NormalTok"/>
                <w:sz w:val="20"/>
                <w:szCs w:val="20"/>
              </w:rPr>
              <w:t>,</w:t>
            </w:r>
          </w:p>
        </w:tc>
        <w:tc>
          <w:tcPr>
            <w:tcW w:w="5488" w:type="dxa"/>
            <w:shd w:val="clear" w:color="auto" w:fill="auto"/>
          </w:tcPr>
          <w:p w:rsidR="003B744F" w:rsidRPr="00955245" w:rsidRDefault="003B744F" w:rsidP="00955245">
            <w:pPr>
              <w:pStyle w:val="SourceCode"/>
              <w:numPr>
                <w:ilvl w:val="0"/>
                <w:numId w:val="15"/>
              </w:numPr>
              <w:rPr>
                <w:sz w:val="20"/>
                <w:szCs w:val="20"/>
              </w:rPr>
            </w:pPr>
            <w:r w:rsidRPr="00955245">
              <w:rPr>
                <w:rStyle w:val="NormalTok"/>
                <w:sz w:val="20"/>
                <w:szCs w:val="20"/>
              </w:rPr>
              <w:t>Coefficient of determination</w:t>
            </w:r>
          </w:p>
        </w:tc>
      </w:tr>
      <w:tr w:rsidR="003B744F" w:rsidRPr="00955245" w:rsidTr="008C502E">
        <w:trPr>
          <w:cantSplit/>
        </w:trPr>
        <w:tc>
          <w:tcPr>
            <w:tcW w:w="1101" w:type="dxa"/>
            <w:shd w:val="clear" w:color="auto" w:fill="auto"/>
          </w:tcPr>
          <w:p w:rsidR="003B744F" w:rsidRPr="00955245" w:rsidRDefault="003B744F" w:rsidP="003B744F">
            <w:pPr>
              <w:pStyle w:val="SourceCode"/>
              <w:jc w:val="right"/>
              <w:rPr>
                <w:rStyle w:val="DataTypeTok"/>
                <w:szCs w:val="20"/>
              </w:rPr>
            </w:pPr>
            <w:r w:rsidRPr="00955245">
              <w:rPr>
                <w:rStyle w:val="NormalTok"/>
                <w:sz w:val="20"/>
                <w:szCs w:val="20"/>
              </w:rPr>
              <w:t xml:space="preserve">    </w:t>
            </w:r>
            <w:proofErr w:type="spellStart"/>
            <w:r w:rsidRPr="00955245">
              <w:rPr>
                <w:rStyle w:val="DataTypeTok"/>
                <w:szCs w:val="20"/>
              </w:rPr>
              <w:t>ypos</w:t>
            </w:r>
            <w:proofErr w:type="spellEnd"/>
          </w:p>
        </w:tc>
        <w:tc>
          <w:tcPr>
            <w:tcW w:w="2693" w:type="dxa"/>
            <w:shd w:val="clear" w:color="auto" w:fill="auto"/>
          </w:tcPr>
          <w:p w:rsidR="003B744F" w:rsidRPr="00955245" w:rsidRDefault="003B744F" w:rsidP="00CF708D">
            <w:pPr>
              <w:pStyle w:val="SourceCode"/>
              <w:rPr>
                <w:sz w:val="20"/>
                <w:szCs w:val="20"/>
              </w:rPr>
            </w:pPr>
            <w:r w:rsidRPr="00955245">
              <w:rPr>
                <w:rStyle w:val="DataTypeTok"/>
                <w:szCs w:val="20"/>
              </w:rPr>
              <w:t>=</w:t>
            </w:r>
            <w:r w:rsidRPr="00955245">
              <w:rPr>
                <w:rStyle w:val="NormalTok"/>
                <w:sz w:val="20"/>
                <w:szCs w:val="20"/>
              </w:rPr>
              <w:t xml:space="preserve"> </w:t>
            </w:r>
            <w:r w:rsidRPr="00955245">
              <w:rPr>
                <w:rStyle w:val="KeywordTok"/>
                <w:szCs w:val="20"/>
              </w:rPr>
              <w:t>list</w:t>
            </w:r>
            <w:r w:rsidRPr="00955245">
              <w:rPr>
                <w:rStyle w:val="NormalTok"/>
                <w:sz w:val="20"/>
                <w:szCs w:val="20"/>
              </w:rPr>
              <w:t>(</w:t>
            </w:r>
            <w:r w:rsidRPr="00955245">
              <w:rPr>
                <w:rStyle w:val="KeywordTok"/>
                <w:szCs w:val="20"/>
              </w:rPr>
              <w:t>c</w:t>
            </w:r>
            <w:r w:rsidRPr="00955245">
              <w:rPr>
                <w:rStyle w:val="NormalTok"/>
                <w:sz w:val="20"/>
                <w:szCs w:val="20"/>
              </w:rPr>
              <w:t>(</w:t>
            </w:r>
            <w:r w:rsidRPr="00955245">
              <w:rPr>
                <w:rStyle w:val="DecValTok"/>
                <w:szCs w:val="20"/>
              </w:rPr>
              <w:t>1</w:t>
            </w:r>
            <w:r w:rsidRPr="00955245">
              <w:rPr>
                <w:rStyle w:val="NormalTok"/>
                <w:sz w:val="20"/>
                <w:szCs w:val="20"/>
              </w:rPr>
              <w:t xml:space="preserve">, </w:t>
            </w:r>
            <w:r w:rsidRPr="00955245">
              <w:rPr>
                <w:rStyle w:val="DecValTok"/>
                <w:szCs w:val="20"/>
              </w:rPr>
              <w:t>2</w:t>
            </w:r>
            <w:r w:rsidRPr="00955245">
              <w:rPr>
                <w:rStyle w:val="NormalTok"/>
                <w:sz w:val="20"/>
                <w:szCs w:val="20"/>
              </w:rPr>
              <w:t xml:space="preserve">, </w:t>
            </w:r>
            <w:r w:rsidRPr="00955245">
              <w:rPr>
                <w:rStyle w:val="DecValTok"/>
                <w:szCs w:val="20"/>
              </w:rPr>
              <w:t>3</w:t>
            </w:r>
            <w:r w:rsidRPr="00955245">
              <w:rPr>
                <w:rStyle w:val="NormalTok"/>
                <w:sz w:val="20"/>
                <w:szCs w:val="20"/>
              </w:rPr>
              <w:t xml:space="preserve">, </w:t>
            </w:r>
            <w:r w:rsidRPr="00955245">
              <w:rPr>
                <w:rStyle w:val="DecValTok"/>
                <w:szCs w:val="20"/>
              </w:rPr>
              <w:t>4</w:t>
            </w:r>
            <w:r w:rsidRPr="00955245">
              <w:rPr>
                <w:rStyle w:val="NormalTok"/>
                <w:sz w:val="20"/>
                <w:szCs w:val="20"/>
              </w:rPr>
              <w:t>)),</w:t>
            </w:r>
          </w:p>
        </w:tc>
        <w:tc>
          <w:tcPr>
            <w:tcW w:w="5488" w:type="dxa"/>
            <w:shd w:val="clear" w:color="auto" w:fill="auto"/>
          </w:tcPr>
          <w:p w:rsidR="003B744F" w:rsidRPr="00955245" w:rsidRDefault="003B744F" w:rsidP="00955245">
            <w:pPr>
              <w:pStyle w:val="SourceCode"/>
              <w:rPr>
                <w:sz w:val="20"/>
                <w:szCs w:val="20"/>
              </w:rPr>
            </w:pPr>
          </w:p>
        </w:tc>
      </w:tr>
      <w:tr w:rsidR="003B744F" w:rsidRPr="00955245" w:rsidTr="008C502E">
        <w:trPr>
          <w:cantSplit/>
        </w:trPr>
        <w:tc>
          <w:tcPr>
            <w:tcW w:w="1101" w:type="dxa"/>
            <w:shd w:val="clear" w:color="auto" w:fill="auto"/>
          </w:tcPr>
          <w:p w:rsidR="003B744F" w:rsidRPr="00955245" w:rsidRDefault="003B744F" w:rsidP="003B744F">
            <w:pPr>
              <w:pStyle w:val="SourceCode"/>
              <w:jc w:val="right"/>
              <w:rPr>
                <w:rStyle w:val="DataTypeTok"/>
                <w:szCs w:val="20"/>
              </w:rPr>
            </w:pPr>
            <w:r w:rsidRPr="00955245">
              <w:rPr>
                <w:rStyle w:val="NormalTok"/>
                <w:sz w:val="20"/>
                <w:szCs w:val="20"/>
              </w:rPr>
              <w:t xml:space="preserve">    </w:t>
            </w:r>
            <w:r w:rsidRPr="00955245">
              <w:rPr>
                <w:rStyle w:val="DataTypeTok"/>
                <w:szCs w:val="20"/>
              </w:rPr>
              <w:t>type</w:t>
            </w:r>
          </w:p>
        </w:tc>
        <w:tc>
          <w:tcPr>
            <w:tcW w:w="2693" w:type="dxa"/>
            <w:shd w:val="clear" w:color="auto" w:fill="auto"/>
          </w:tcPr>
          <w:p w:rsidR="003B744F" w:rsidRPr="00955245" w:rsidRDefault="003B744F" w:rsidP="00CF708D">
            <w:pPr>
              <w:pStyle w:val="SourceCode"/>
              <w:rPr>
                <w:sz w:val="20"/>
                <w:szCs w:val="20"/>
              </w:rPr>
            </w:pPr>
            <w:r w:rsidRPr="00955245">
              <w:rPr>
                <w:rStyle w:val="DataTypeTok"/>
                <w:szCs w:val="20"/>
              </w:rPr>
              <w:t>=</w:t>
            </w:r>
            <w:r w:rsidRPr="00955245">
              <w:rPr>
                <w:rStyle w:val="NormalTok"/>
                <w:sz w:val="20"/>
                <w:szCs w:val="20"/>
              </w:rPr>
              <w:t xml:space="preserve"> </w:t>
            </w:r>
            <w:r w:rsidRPr="00955245">
              <w:rPr>
                <w:rStyle w:val="StringTok"/>
                <w:szCs w:val="20"/>
              </w:rPr>
              <w:t>"multivariate"</w:t>
            </w:r>
          </w:p>
        </w:tc>
        <w:tc>
          <w:tcPr>
            <w:tcW w:w="5488" w:type="dxa"/>
            <w:shd w:val="clear" w:color="auto" w:fill="auto"/>
          </w:tcPr>
          <w:p w:rsidR="003B744F" w:rsidRPr="00955245" w:rsidRDefault="003B744F" w:rsidP="00955245">
            <w:pPr>
              <w:pStyle w:val="SourceCode"/>
              <w:rPr>
                <w:sz w:val="20"/>
                <w:szCs w:val="20"/>
              </w:rPr>
            </w:pPr>
          </w:p>
        </w:tc>
      </w:tr>
      <w:tr w:rsidR="003B744F" w:rsidRPr="00955245" w:rsidTr="008C502E">
        <w:trPr>
          <w:cantSplit/>
        </w:trPr>
        <w:tc>
          <w:tcPr>
            <w:tcW w:w="1101" w:type="dxa"/>
            <w:shd w:val="clear" w:color="auto" w:fill="auto"/>
          </w:tcPr>
          <w:p w:rsidR="003B744F" w:rsidRPr="00955245" w:rsidRDefault="003B744F" w:rsidP="00CF708D">
            <w:pPr>
              <w:pStyle w:val="SourceCode"/>
              <w:rPr>
                <w:sz w:val="20"/>
                <w:szCs w:val="20"/>
              </w:rPr>
            </w:pPr>
            <w:r w:rsidRPr="00955245">
              <w:rPr>
                <w:rStyle w:val="NormalTok"/>
                <w:sz w:val="20"/>
                <w:szCs w:val="20"/>
              </w:rPr>
              <w:t>)</w:t>
            </w:r>
          </w:p>
        </w:tc>
        <w:tc>
          <w:tcPr>
            <w:tcW w:w="2693" w:type="dxa"/>
            <w:shd w:val="clear" w:color="auto" w:fill="auto"/>
          </w:tcPr>
          <w:p w:rsidR="003B744F" w:rsidRPr="00955245" w:rsidRDefault="003B744F" w:rsidP="00CF708D">
            <w:pPr>
              <w:pStyle w:val="SourceCode"/>
              <w:rPr>
                <w:sz w:val="20"/>
                <w:szCs w:val="20"/>
              </w:rPr>
            </w:pPr>
          </w:p>
        </w:tc>
        <w:tc>
          <w:tcPr>
            <w:tcW w:w="5488" w:type="dxa"/>
            <w:shd w:val="clear" w:color="auto" w:fill="auto"/>
          </w:tcPr>
          <w:p w:rsidR="003B744F" w:rsidRPr="00955245" w:rsidRDefault="003B744F" w:rsidP="00955245">
            <w:pPr>
              <w:pStyle w:val="SourceCode"/>
              <w:rPr>
                <w:sz w:val="20"/>
                <w:szCs w:val="20"/>
              </w:rPr>
            </w:pPr>
          </w:p>
        </w:tc>
      </w:tr>
    </w:tbl>
    <w:p w:rsidR="0096095D" w:rsidRDefault="00CF708D">
      <w:pPr>
        <w:pStyle w:val="FigurewithCaption"/>
      </w:pPr>
      <w:r>
        <w:rPr>
          <w:noProof/>
        </w:rPr>
        <w:drawing>
          <wp:inline distT="0" distB="0" distL="0" distR="0">
            <wp:extent cx="5334000" cy="2667000"/>
            <wp:effectExtent l="0" t="0" r="0" b="0"/>
            <wp:docPr id="3" name="Picture" descr="Figure 3 (left) Covariance structure of latent components. (right) Covariance structure of predictor and response"/>
            <wp:cNvGraphicFramePr/>
            <a:graphic xmlns:a="http://schemas.openxmlformats.org/drawingml/2006/main">
              <a:graphicData uri="http://schemas.openxmlformats.org/drawingml/2006/picture">
                <pic:pic xmlns:pic="http://schemas.openxmlformats.org/drawingml/2006/picture">
                  <pic:nvPicPr>
                    <pic:cNvPr id="0" name="Picture" descr="main_files/figure-docx/cov-plot-1-1.png"/>
                    <pic:cNvPicPr>
                      <a:picLocks noChangeAspect="1" noChangeArrowheads="1"/>
                    </pic:cNvPicPr>
                  </pic:nvPicPr>
                  <pic:blipFill>
                    <a:blip r:embed="rId10"/>
                    <a:stretch>
                      <a:fillRect/>
                    </a:stretch>
                  </pic:blipFill>
                  <pic:spPr bwMode="auto">
                    <a:xfrm>
                      <a:off x="0" y="0"/>
                      <a:ext cx="5334000" cy="2667000"/>
                    </a:xfrm>
                    <a:prstGeom prst="rect">
                      <a:avLst/>
                    </a:prstGeom>
                    <a:noFill/>
                    <a:ln w="9525">
                      <a:noFill/>
                      <a:headEnd/>
                      <a:tailEnd/>
                    </a:ln>
                  </pic:spPr>
                </pic:pic>
              </a:graphicData>
            </a:graphic>
          </wp:inline>
        </w:drawing>
      </w:r>
    </w:p>
    <w:p w:rsidR="0096095D" w:rsidRDefault="00CF708D">
      <w:pPr>
        <w:pStyle w:val="ImageCaption"/>
      </w:pPr>
      <w:r>
        <w:t>Figure 3 (left) Covariance structure of latent components. (right) Covariance structure of predictor and response</w:t>
      </w:r>
    </w:p>
    <w:p w:rsidR="0096095D" w:rsidRDefault="00CF708D">
      <w:pPr>
        <w:pStyle w:val="BodyText"/>
      </w:pPr>
      <w:r>
        <w:t xml:space="preserve">The covariance structure of the data simulated with this design in the Figure 3 shows that the predictor components at position 1, 2, 3 and 4 are relevant for the first response component. After the rotation with orthogonal rotation matrix, all predictor variables are somewhat relevant for all response variables, satisfying other desired properties like multicollinearity and coefficient of determination. For the same design, Figure 4 (top left) shows that the predictor components 1, 2, 3 and 4 are relevant for the first response component. All other predictor components are irrelevant and all other response components are uninformative. However, due to orthogonal rotation of the informative response component together with uninformative response components, all response variables in the population have similar covariance with the relevant predictor components (Figure 4 (top right)). The sample covariances between the predictor </w:t>
      </w:r>
      <w:r>
        <w:lastRenderedPageBreak/>
        <w:t>components and predictor variables with response variables are in Figure 4 (bottom left) and (bottom right) respectively.</w:t>
      </w:r>
    </w:p>
    <w:p w:rsidR="0096095D" w:rsidRDefault="00CF708D">
      <w:pPr>
        <w:pStyle w:val="FigurewithCaption"/>
      </w:pPr>
      <w:r>
        <w:rPr>
          <w:noProof/>
        </w:rPr>
        <w:drawing>
          <wp:inline distT="0" distB="0" distL="0" distR="0">
            <wp:extent cx="5334000" cy="4265965"/>
            <wp:effectExtent l="0" t="0" r="0" b="0"/>
            <wp:docPr id="4" name="Picture" descr="Figure 4 Expected Scaled absolute covariance between predictor components and response components (top left). Expected Scaled absolute covariance between predictor components and response variables (top right). Sample scaled absolute covariance between predictor components and response variables (bottom left). Sample scaled absolute covariance between predictor variables and response variables (bottom right). The bar in the background are eigenvalues corresponding to each components in population (top plots) and in sample (bottom plots). One can compare the top-right plot (true covariance of the population) with bottom-left (covariance in the simulated data) which shows a similar pattern for different components."/>
            <wp:cNvGraphicFramePr/>
            <a:graphic xmlns:a="http://schemas.openxmlformats.org/drawingml/2006/main">
              <a:graphicData uri="http://schemas.openxmlformats.org/drawingml/2006/picture">
                <pic:pic xmlns:pic="http://schemas.openxmlformats.org/drawingml/2006/picture">
                  <pic:nvPicPr>
                    <pic:cNvPr id="0" name="Picture" descr="main_files/figure-docx/est-cov-plot-1.png"/>
                    <pic:cNvPicPr>
                      <a:picLocks noChangeAspect="1" noChangeArrowheads="1"/>
                    </pic:cNvPicPr>
                  </pic:nvPicPr>
                  <pic:blipFill>
                    <a:blip r:embed="rId11"/>
                    <a:stretch>
                      <a:fillRect/>
                    </a:stretch>
                  </pic:blipFill>
                  <pic:spPr bwMode="auto">
                    <a:xfrm>
                      <a:off x="0" y="0"/>
                      <a:ext cx="5334000" cy="4265965"/>
                    </a:xfrm>
                    <a:prstGeom prst="rect">
                      <a:avLst/>
                    </a:prstGeom>
                    <a:noFill/>
                    <a:ln w="9525">
                      <a:noFill/>
                      <a:headEnd/>
                      <a:tailEnd/>
                    </a:ln>
                  </pic:spPr>
                </pic:pic>
              </a:graphicData>
            </a:graphic>
          </wp:inline>
        </w:drawing>
      </w:r>
    </w:p>
    <w:p w:rsidR="0096095D" w:rsidRDefault="00CF708D">
      <w:pPr>
        <w:pStyle w:val="ImageCaption"/>
      </w:pPr>
      <w:r>
        <w:t>Figure 4 Expected Scaled absolute covariance between predictor components and response components (top left). Expected Scaled absolute covariance between predictor components and response variables (top right). Sample scaled absolute covariance between predictor components and response variables (bottom left). Sample scaled absolute covariance between predictor variables and response variables (bottom right). The bar in the background are eigenvalues corresponding to each components in population (top plots) and in sample (bottom plots). One can compare the top-right plot (true covariance of the population) with bottom-left (covariance in the simulated data) which shows a similar pattern for different components.</w:t>
      </w:r>
    </w:p>
    <w:p w:rsidR="0096095D" w:rsidRDefault="00CF708D">
      <w:pPr>
        <w:pStyle w:val="BodyText"/>
      </w:pPr>
      <w:r>
        <w:t>A similar discussion can be made on all 32 designs where each of the design holds the properties of the data they simulate. These data are used by the prediction methods discussed in previous section. Each prediction method is given independently simulated datasets in order to give them equal opportunity to capture the dynamics in the data.</w:t>
      </w:r>
    </w:p>
    <w:p w:rsidR="0096095D" w:rsidRDefault="00CF708D">
      <w:pPr>
        <w:pStyle w:val="Heading1"/>
      </w:pPr>
      <w:bookmarkStart w:id="6" w:name="basis-of-comparison"/>
      <w:bookmarkEnd w:id="6"/>
      <w:r>
        <w:lastRenderedPageBreak/>
        <w:t>Basis of comparison</w:t>
      </w:r>
    </w:p>
    <w:p w:rsidR="0096095D" w:rsidRDefault="00CF708D">
      <w:pPr>
        <w:pStyle w:val="FirstParagraph"/>
      </w:pPr>
      <w:r>
        <w:t>This study focuses mainly on the prediction performance of the methods and emphasis specifically on the interaction between the properties of the data controlled by the simulation parameters, and the prediction methods. The prediction performance is measured on the following basis:</w:t>
      </w:r>
    </w:p>
    <w:p w:rsidR="0096095D" w:rsidRDefault="00CF708D">
      <w:pPr>
        <w:pStyle w:val="Compact"/>
        <w:numPr>
          <w:ilvl w:val="0"/>
          <w:numId w:val="3"/>
        </w:numPr>
      </w:pPr>
      <w:r>
        <w:t>The average prediction error that a method can give using arbitrary number of components and</w:t>
      </w:r>
    </w:p>
    <w:p w:rsidR="0096095D" w:rsidRDefault="00CF708D">
      <w:pPr>
        <w:pStyle w:val="Compact"/>
        <w:numPr>
          <w:ilvl w:val="0"/>
          <w:numId w:val="3"/>
        </w:numPr>
      </w:pPr>
      <w:r>
        <w:t>The average number of components used by the method to give the minimum prediction error</w:t>
      </w:r>
    </w:p>
    <w:p w:rsidR="0096095D" w:rsidRDefault="00CF708D">
      <w:pPr>
        <w:pStyle w:val="FirstParagraph"/>
      </w:pPr>
      <w:r>
        <w:t>Let us define,</w:t>
      </w:r>
    </w:p>
    <w:p w:rsidR="0096095D" w:rsidRDefault="002E0E1D">
      <w:pPr>
        <w:pStyle w:val="BodyText"/>
      </w:pPr>
      <m:oMathPara>
        <m:oMathParaPr>
          <m:jc m:val="center"/>
        </m:oMathParaPr>
        <m:oMath>
          <m:sSub>
            <m:sSubPr>
              <m:ctrlPr>
                <w:rPr>
                  <w:rFonts w:ascii="Cambria Math" w:hAnsi="Cambria Math"/>
                </w:rPr>
              </m:ctrlPr>
            </m:sSubPr>
            <m:e>
              <m:r>
                <m:rPr>
                  <m:scr m:val="script"/>
                  <m:sty m:val="p"/>
                </m:rPr>
                <w:rPr>
                  <w:rFonts w:ascii="Cambria Math" w:hAnsi="Cambria Math"/>
                </w:rPr>
                <m:t>PE</m:t>
              </m:r>
            </m:e>
            <m:sub>
              <m:r>
                <w:rPr>
                  <w:rFonts w:ascii="Cambria Math" w:hAnsi="Cambria Math"/>
                </w:rPr>
                <m:t>ijkl</m:t>
              </m:r>
            </m:sub>
          </m:sSub>
          <m:r>
            <w:rPr>
              <w:rFonts w:ascii="Cambria Math" w:hAnsi="Cambria Math"/>
            </w:rPr>
            <m:t>=</m:t>
          </m:r>
          <m:f>
            <m:fPr>
              <m:ctrlPr>
                <w:rPr>
                  <w:rFonts w:ascii="Cambria Math" w:hAnsi="Cambria Math"/>
                </w:rPr>
              </m:ctrlPr>
            </m:fPr>
            <m:num>
              <m:r>
                <w:rPr>
                  <w:rFonts w:ascii="Cambria Math" w:hAnsi="Cambria Math"/>
                </w:rPr>
                <m:t>1</m:t>
              </m:r>
            </m:num>
            <m:den>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|x</m:t>
                  </m:r>
                </m:sub>
                <m:sup>
                  <m:r>
                    <w:rPr>
                      <w:rFonts w:ascii="Cambria Math" w:hAnsi="Cambria Math"/>
                    </w:rPr>
                    <m:t>2</m:t>
                  </m:r>
                </m:sup>
              </m:sSubSup>
            </m:den>
          </m:f>
          <m:r>
            <m:rPr>
              <m:scr m:val="sans-serif"/>
              <m:sty m:val="p"/>
            </m:rPr>
            <w:rPr>
              <w:rFonts w:ascii="Cambria Math" w:hAnsi="Cambria Math"/>
            </w:rPr>
            <m:t>E</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β</m:t>
                          </m:r>
                        </m:e>
                        <m:sub>
                          <m:r>
                            <w:rPr>
                              <w:rFonts w:ascii="Cambria Math" w:hAnsi="Cambria Math"/>
                            </w:rPr>
                            <m:t>ij</m:t>
                          </m:r>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m:rPr>
                                  <m:sty m:val="b"/>
                                </m:rPr>
                                <w:rPr>
                                  <w:rFonts w:ascii="Cambria Math" w:hAnsi="Cambria Math"/>
                                </w:rPr>
                                <m:t>β</m:t>
                              </m:r>
                            </m:e>
                          </m:groupChr>
                        </m:e>
                        <m:sub>
                          <m:r>
                            <m:rPr>
                              <m:sty m:val="b"/>
                            </m:rPr>
                            <w:rPr>
                              <w:rFonts w:ascii="Cambria Math" w:hAnsi="Cambria Math"/>
                            </w:rPr>
                            <m:t>ijkl</m:t>
                          </m:r>
                        </m:sub>
                      </m:sSub>
                    </m:e>
                  </m:d>
                </m:e>
                <m:sup>
                  <m:r>
                    <w:rPr>
                      <w:rFonts w:ascii="Cambria Math" w:hAnsi="Cambria Math"/>
                    </w:rPr>
                    <m:t>t</m:t>
                  </m:r>
                </m:sup>
              </m:sSup>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m:rPr>
                              <m:sty m:val="b"/>
                            </m:rPr>
                            <w:rPr>
                              <w:rFonts w:ascii="Cambria Math" w:hAnsi="Cambria Math"/>
                            </w:rPr>
                            <m:t>Σ</m:t>
                          </m:r>
                        </m:e>
                        <m:sub>
                          <m:r>
                            <w:rPr>
                              <w:rFonts w:ascii="Cambria Math" w:hAnsi="Cambria Math"/>
                            </w:rPr>
                            <m:t>xx</m:t>
                          </m:r>
                        </m:sub>
                      </m:sSub>
                    </m:e>
                  </m:d>
                </m:e>
                <m:sub>
                  <m: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b"/>
                        </m:rPr>
                        <w:rPr>
                          <w:rFonts w:ascii="Cambria Math" w:hAnsi="Cambria Math"/>
                        </w:rPr>
                        <m:t>β</m:t>
                      </m:r>
                    </m:e>
                    <m:sub>
                      <m:r>
                        <w:rPr>
                          <w:rFonts w:ascii="Cambria Math" w:hAnsi="Cambria Math"/>
                        </w:rPr>
                        <m:t>ij</m:t>
                      </m:r>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m:rPr>
                              <m:sty m:val="b"/>
                            </m:rPr>
                            <w:rPr>
                              <w:rFonts w:ascii="Cambria Math" w:hAnsi="Cambria Math"/>
                            </w:rPr>
                            <m:t>β</m:t>
                          </m:r>
                        </m:e>
                      </m:groupChr>
                    </m:e>
                    <m:sub>
                      <m:r>
                        <m:rPr>
                          <m:sty m:val="b"/>
                        </m:rPr>
                        <w:rPr>
                          <w:rFonts w:ascii="Cambria Math" w:hAnsi="Cambria Math"/>
                        </w:rPr>
                        <m:t>ijkl</m:t>
                      </m:r>
                    </m:sub>
                  </m:sSub>
                </m:e>
              </m:d>
            </m:e>
          </m:d>
          <m:r>
            <w:rPr>
              <w:rFonts w:ascii="Cambria Math" w:hAnsi="Cambria Math"/>
            </w:rPr>
            <m:t>+1  (7)</m:t>
          </m:r>
        </m:oMath>
      </m:oMathPara>
    </w:p>
    <w:p w:rsidR="0096095D" w:rsidRDefault="00CF708D">
      <w:pPr>
        <w:pStyle w:val="FirstParagraph"/>
      </w:pPr>
      <w:r>
        <w:t xml:space="preserve">as a prediction error of response </w:t>
      </w:r>
      <m:oMath>
        <m:r>
          <w:rPr>
            <w:rFonts w:ascii="Cambria Math" w:hAnsi="Cambria Math"/>
          </w:rPr>
          <m:t>j=1,…4</m:t>
        </m:r>
      </m:oMath>
      <w:r>
        <w:t xml:space="preserve"> for a given design </w:t>
      </w:r>
      <m:oMath>
        <m:r>
          <w:rPr>
            <w:rFonts w:ascii="Cambria Math" w:hAnsi="Cambria Math"/>
          </w:rPr>
          <m:t>i=1,2,…32</m:t>
        </m:r>
      </m:oMath>
      <w:r>
        <w:t xml:space="preserve"> and method </w:t>
      </w:r>
      <m:oMath>
        <m:r>
          <w:rPr>
            <w:rFonts w:ascii="Cambria Math" w:hAnsi="Cambria Math"/>
          </w:rPr>
          <m:t>k=1(</m:t>
        </m:r>
        <m:r>
          <m:rPr>
            <m:sty m:val="p"/>
          </m:rPr>
          <w:rPr>
            <w:rFonts w:ascii="Cambria Math" w:hAnsi="Cambria Math"/>
          </w:rPr>
          <m:t>PCR</m:t>
        </m:r>
        <m:r>
          <w:rPr>
            <w:rFonts w:ascii="Cambria Math" w:hAnsi="Cambria Math"/>
          </w:rPr>
          <m:t>),…5(</m:t>
        </m:r>
        <m:r>
          <m:rPr>
            <m:sty m:val="p"/>
          </m:rPr>
          <w:rPr>
            <w:rFonts w:ascii="Cambria Math" w:hAnsi="Cambria Math"/>
          </w:rPr>
          <m:t>Senv</m:t>
        </m:r>
        <m:r>
          <w:rPr>
            <w:rFonts w:ascii="Cambria Math" w:hAnsi="Cambria Math"/>
          </w:rPr>
          <m:t>)</m:t>
        </m:r>
      </m:oMath>
      <w:r>
        <w:t xml:space="preserve"> using </w:t>
      </w:r>
      <m:oMath>
        <m:r>
          <w:rPr>
            <w:rFonts w:ascii="Cambria Math" w:hAnsi="Cambria Math"/>
          </w:rPr>
          <m:t>l=0,…10</m:t>
        </m:r>
      </m:oMath>
      <w:r>
        <w:t xml:space="preserve"> number of components. Here, </w:t>
      </w:r>
      <m:oMath>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m:rPr>
                        <m:sty m:val="b"/>
                      </m:rPr>
                      <w:rPr>
                        <w:rFonts w:ascii="Cambria Math" w:hAnsi="Cambria Math"/>
                      </w:rPr>
                      <m:t>Σ</m:t>
                    </m:r>
                  </m:e>
                  <m:sub>
                    <m:r>
                      <w:rPr>
                        <w:rFonts w:ascii="Cambria Math" w:hAnsi="Cambria Math"/>
                      </w:rPr>
                      <m:t>xx</m:t>
                    </m:r>
                  </m:sub>
                </m:sSub>
              </m:e>
            </m:d>
          </m:e>
          <m:sub>
            <m:r>
              <w:rPr>
                <w:rFonts w:ascii="Cambria Math" w:hAnsi="Cambria Math"/>
              </w:rPr>
              <m:t>i</m:t>
            </m:r>
          </m:sub>
        </m:sSub>
      </m:oMath>
      <w:r>
        <w:t xml:space="preserve"> is the true covariance matrix of the predictors, unique for a particular design </w:t>
      </w:r>
      <m:oMath>
        <m:r>
          <w:rPr>
            <w:rFonts w:ascii="Cambria Math" w:hAnsi="Cambria Math"/>
          </w:rPr>
          <m:t>i</m:t>
        </m:r>
      </m:oMath>
      <w:r>
        <w:t xml:space="preserve"> and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∣x</m:t>
            </m:r>
          </m:sub>
          <m:sup>
            <m:r>
              <w:rPr>
                <w:rFonts w:ascii="Cambria Math" w:hAnsi="Cambria Math"/>
              </w:rPr>
              <m:t>2</m:t>
            </m:r>
          </m:sup>
        </m:sSubSup>
      </m:oMath>
      <w:r>
        <w:t xml:space="preserve"> for response </w:t>
      </w:r>
      <m:oMath>
        <m:r>
          <w:rPr>
            <w:rFonts w:ascii="Cambria Math" w:hAnsi="Cambria Math"/>
          </w:rPr>
          <m:t>j=1,…m</m:t>
        </m:r>
      </m:oMath>
      <w:r>
        <w:t xml:space="preserve"> is the true model error. Here prediction error is scaled by the true model error to remove the effects of influencing residual variances. Since both the expectation and the variance of </w:t>
      </w:r>
      <m:oMath>
        <m:groupChr>
          <m:groupChrPr>
            <m:chr m:val="^"/>
            <m:pos m:val="top"/>
            <m:vertJc m:val="bot"/>
            <m:ctrlPr>
              <w:rPr>
                <w:rFonts w:ascii="Cambria Math" w:hAnsi="Cambria Math"/>
              </w:rPr>
            </m:ctrlPr>
          </m:groupChrPr>
          <m:e>
            <m:r>
              <m:rPr>
                <m:sty m:val="b"/>
              </m:rPr>
              <w:rPr>
                <w:rFonts w:ascii="Cambria Math" w:hAnsi="Cambria Math"/>
              </w:rPr>
              <m:t>β</m:t>
            </m:r>
          </m:e>
        </m:groupChr>
      </m:oMath>
      <w:r>
        <w:t xml:space="preserve"> are unknown, the prediction error are estimated using data from 50 replications as follows,</w:t>
      </w:r>
    </w:p>
    <w:p w:rsidR="0096095D" w:rsidRDefault="002E0E1D">
      <w:pPr>
        <w:pStyle w:val="BodyText"/>
      </w:pPr>
      <m:oMathPara>
        <m:oMathParaPr>
          <m:jc m:val="center"/>
        </m:oMathParaPr>
        <m:oMath>
          <m:groupChr>
            <m:groupChrPr>
              <m:chr m:val="ˆ"/>
              <m:pos m:val="top"/>
              <m:vertJc m:val="bot"/>
              <m:ctrlPr>
                <w:rPr>
                  <w:rFonts w:ascii="Cambria Math" w:hAnsi="Cambria Math"/>
                </w:rPr>
              </m:ctrlPr>
            </m:groupChrPr>
            <m:e>
              <m:sSub>
                <m:sSubPr>
                  <m:ctrlPr>
                    <w:rPr>
                      <w:rFonts w:ascii="Cambria Math" w:hAnsi="Cambria Math"/>
                    </w:rPr>
                  </m:ctrlPr>
                </m:sSubPr>
                <m:e>
                  <m:r>
                    <m:rPr>
                      <m:scr m:val="script"/>
                      <m:sty m:val="p"/>
                    </m:rPr>
                    <w:rPr>
                      <w:rFonts w:ascii="Cambria Math" w:hAnsi="Cambria Math"/>
                    </w:rPr>
                    <m:t>PE</m:t>
                  </m:r>
                </m:e>
                <m:sub>
                  <m:r>
                    <w:rPr>
                      <w:rFonts w:ascii="Cambria Math" w:hAnsi="Cambria Math"/>
                    </w:rPr>
                    <m:t>ijkl</m:t>
                  </m:r>
                </m:sub>
              </m:sSub>
            </m:e>
          </m:groupChr>
          <m:r>
            <w:rPr>
              <w:rFonts w:ascii="Cambria Math" w:hAnsi="Cambria Math"/>
            </w:rPr>
            <m:t>=</m:t>
          </m:r>
          <m:f>
            <m:fPr>
              <m:ctrlPr>
                <w:rPr>
                  <w:rFonts w:ascii="Cambria Math" w:hAnsi="Cambria Math"/>
                </w:rPr>
              </m:ctrlPr>
            </m:fPr>
            <m:num>
              <m:r>
                <w:rPr>
                  <w:rFonts w:ascii="Cambria Math" w:hAnsi="Cambria Math"/>
                </w:rPr>
                <m:t>1</m:t>
              </m:r>
            </m:num>
            <m:den>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|x</m:t>
                  </m:r>
                </m:sub>
                <m:sup>
                  <m:r>
                    <w:rPr>
                      <w:rFonts w:ascii="Cambria Math" w:hAnsi="Cambria Math"/>
                    </w:rPr>
                    <m:t>2</m:t>
                  </m:r>
                </m:sup>
              </m:sSubSup>
            </m:den>
          </m:f>
          <m:nary>
            <m:naryPr>
              <m:chr m:val="∑"/>
              <m:limLoc m:val="undOvr"/>
              <m:ctrlPr>
                <w:rPr>
                  <w:rFonts w:ascii="Cambria Math" w:hAnsi="Cambria Math"/>
                </w:rPr>
              </m:ctrlPr>
            </m:naryPr>
            <m:sub>
              <m:r>
                <w:rPr>
                  <w:rFonts w:ascii="Cambria Math" w:hAnsi="Cambria Math"/>
                </w:rPr>
                <m:t>r=0</m:t>
              </m:r>
            </m:sub>
            <m:sup>
              <m:r>
                <w:rPr>
                  <w:rFonts w:ascii="Cambria Math" w:hAnsi="Cambria Math"/>
                </w:rPr>
                <m:t>50</m:t>
              </m:r>
            </m:sup>
            <m:e>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β</m:t>
                              </m:r>
                            </m:e>
                            <m:sub>
                              <m:r>
                                <w:rPr>
                                  <w:rFonts w:ascii="Cambria Math" w:hAnsi="Cambria Math"/>
                                </w:rPr>
                                <m:t>ij</m:t>
                              </m:r>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m:rPr>
                                      <m:sty m:val="b"/>
                                    </m:rPr>
                                    <w:rPr>
                                      <w:rFonts w:ascii="Cambria Math" w:hAnsi="Cambria Math"/>
                                    </w:rPr>
                                    <m:t>β</m:t>
                                  </m:r>
                                </m:e>
                              </m:groupChr>
                            </m:e>
                            <m:sub>
                              <m:r>
                                <m:rPr>
                                  <m:sty m:val="b"/>
                                </m:rPr>
                                <w:rPr>
                                  <w:rFonts w:ascii="Cambria Math" w:hAnsi="Cambria Math"/>
                                </w:rPr>
                                <m:t>ijklr</m:t>
                              </m:r>
                            </m:sub>
                          </m:sSub>
                        </m:e>
                      </m:d>
                    </m:e>
                    <m:sup>
                      <m:r>
                        <w:rPr>
                          <w:rFonts w:ascii="Cambria Math" w:hAnsi="Cambria Math"/>
                        </w:rPr>
                        <m:t>t</m:t>
                      </m:r>
                    </m:sup>
                  </m:sSup>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m:rPr>
                                  <m:sty m:val="b"/>
                                </m:rPr>
                                <w:rPr>
                                  <w:rFonts w:ascii="Cambria Math" w:hAnsi="Cambria Math"/>
                                </w:rPr>
                                <m:t>Σ</m:t>
                              </m:r>
                            </m:e>
                            <m:sub>
                              <m:r>
                                <w:rPr>
                                  <w:rFonts w:ascii="Cambria Math" w:hAnsi="Cambria Math"/>
                                </w:rPr>
                                <m:t>xx</m:t>
                              </m:r>
                            </m:sub>
                          </m:sSub>
                        </m:e>
                      </m:d>
                    </m:e>
                    <m:sub>
                      <m: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b"/>
                            </m:rPr>
                            <w:rPr>
                              <w:rFonts w:ascii="Cambria Math" w:hAnsi="Cambria Math"/>
                            </w:rPr>
                            <m:t>β</m:t>
                          </m:r>
                        </m:e>
                        <m:sub>
                          <m:r>
                            <w:rPr>
                              <w:rFonts w:ascii="Cambria Math" w:hAnsi="Cambria Math"/>
                            </w:rPr>
                            <m:t>ij</m:t>
                          </m:r>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m:rPr>
                                  <m:sty m:val="b"/>
                                </m:rPr>
                                <w:rPr>
                                  <w:rFonts w:ascii="Cambria Math" w:hAnsi="Cambria Math"/>
                                </w:rPr>
                                <m:t>β</m:t>
                              </m:r>
                            </m:e>
                          </m:groupChr>
                        </m:e>
                        <m:sub>
                          <m:r>
                            <m:rPr>
                              <m:sty m:val="b"/>
                            </m:rPr>
                            <w:rPr>
                              <w:rFonts w:ascii="Cambria Math" w:hAnsi="Cambria Math"/>
                            </w:rPr>
                            <m:t>ijklr</m:t>
                          </m:r>
                        </m:sub>
                      </m:sSub>
                    </m:e>
                  </m:d>
                </m:e>
              </m:d>
            </m:e>
          </m:nary>
          <m:r>
            <w:rPr>
              <w:rFonts w:ascii="Cambria Math" w:hAnsi="Cambria Math"/>
            </w:rPr>
            <m:t>+1  (8)</m:t>
          </m:r>
        </m:oMath>
      </m:oMathPara>
    </w:p>
    <w:p w:rsidR="0096095D" w:rsidRDefault="00CF708D">
      <w:pPr>
        <w:pStyle w:val="FirstParagraph"/>
      </w:pPr>
      <w:r>
        <w:t xml:space="preserve">where, </w:t>
      </w:r>
      <m:oMath>
        <m:groupChr>
          <m:groupChrPr>
            <m:chr m:val="ˆ"/>
            <m:pos m:val="top"/>
            <m:vertJc m:val="bot"/>
            <m:ctrlPr>
              <w:rPr>
                <w:rFonts w:ascii="Cambria Math" w:hAnsi="Cambria Math"/>
              </w:rPr>
            </m:ctrlPr>
          </m:groupChrPr>
          <m:e>
            <m:sSub>
              <m:sSubPr>
                <m:ctrlPr>
                  <w:rPr>
                    <w:rFonts w:ascii="Cambria Math" w:hAnsi="Cambria Math"/>
                  </w:rPr>
                </m:ctrlPr>
              </m:sSubPr>
              <m:e>
                <m:r>
                  <m:rPr>
                    <m:scr m:val="script"/>
                    <m:sty m:val="p"/>
                  </m:rPr>
                  <w:rPr>
                    <w:rFonts w:ascii="Cambria Math" w:hAnsi="Cambria Math"/>
                  </w:rPr>
                  <m:t>PE</m:t>
                </m:r>
              </m:e>
              <m:sub>
                <m:r>
                  <w:rPr>
                    <w:rFonts w:ascii="Cambria Math" w:hAnsi="Cambria Math"/>
                  </w:rPr>
                  <m:t>ijkl</m:t>
                </m:r>
              </m:sub>
            </m:sSub>
          </m:e>
        </m:groupChr>
      </m:oMath>
      <w:r>
        <w:t xml:space="preserve"> is the estimated prediction error averaged over </w:t>
      </w:r>
      <m:oMath>
        <m:r>
          <w:rPr>
            <w:rFonts w:ascii="Cambria Math" w:hAnsi="Cambria Math"/>
          </w:rPr>
          <m:t>r=50</m:t>
        </m:r>
      </m:oMath>
      <w:r>
        <w:t xml:space="preserve"> replicates.</w:t>
      </w:r>
    </w:p>
    <w:p w:rsidR="0096095D" w:rsidRDefault="00CF708D">
      <w:pPr>
        <w:pStyle w:val="BodyText"/>
      </w:pPr>
      <w:r>
        <w:t>Following section focuses on the data for the estimation of these prediction error that are used for the two models discussed above in a) and b) of this section.</w:t>
      </w:r>
    </w:p>
    <w:p w:rsidR="0096095D" w:rsidRDefault="00CF708D">
      <w:pPr>
        <w:pStyle w:val="Heading1"/>
      </w:pPr>
      <w:bookmarkStart w:id="7" w:name="data-preparation"/>
      <w:bookmarkEnd w:id="7"/>
      <w:r>
        <w:t>Data Preparation</w:t>
      </w:r>
    </w:p>
    <w:p w:rsidR="0096095D" w:rsidRDefault="00CF708D">
      <w:pPr>
        <w:pStyle w:val="FirstParagraph"/>
      </w:pPr>
      <w:r>
        <w:t xml:space="preserve">A dataset for estimating (7) is obtained from simulation which contains a) five factors corresponding to simulation parameters, b) prediction methods, c) number of components, d) </w:t>
      </w:r>
      <w:r>
        <w:lastRenderedPageBreak/>
        <w:t>replications and e) prediction error for four responses. The prediction error is computed using predictor components ranging from 0 to 10 for each 50 replicates as,</w:t>
      </w:r>
    </w:p>
    <w:p w:rsidR="003F0D48" w:rsidRPr="00A22BE6" w:rsidRDefault="002E0E1D" w:rsidP="003F0D48">
      <w:pPr>
        <w:spacing w:after="0" w:line="240" w:lineRule="auto"/>
        <w:jc w:val="left"/>
        <w:rPr>
          <w:rFonts w:ascii="Times New Roman" w:eastAsia="Times New Roman" w:hAnsi="Times New Roman" w:cs="Times New Roman"/>
          <w:lang w:bidi="ne-NP"/>
        </w:rPr>
      </w:pPr>
      <m:oMathPara>
        <m:oMathParaPr>
          <m:jc m:val="center"/>
        </m:oMathParaPr>
        <m:oMath>
          <m:sSub>
            <m:sSubPr>
              <m:ctrlPr>
                <w:rPr>
                  <w:rFonts w:ascii="Cambria Math" w:hAnsi="Cambria Math"/>
                </w:rPr>
              </m:ctrlPr>
            </m:sSubPr>
            <m:e>
              <m:acc>
                <m:accPr>
                  <m:ctrlPr>
                    <w:rPr>
                      <w:rFonts w:ascii="Cambria Math" w:hAnsi="Cambria Math"/>
                      <w:i/>
                    </w:rPr>
                  </m:ctrlPr>
                </m:accPr>
                <m:e>
                  <m:d>
                    <m:dPr>
                      <m:ctrlPr>
                        <w:rPr>
                          <w:rFonts w:ascii="Cambria Math" w:hAnsi="Cambria Math"/>
                          <w:i/>
                        </w:rPr>
                      </m:ctrlPr>
                    </m:dPr>
                    <m:e>
                      <m:r>
                        <m:rPr>
                          <m:scr m:val="script"/>
                          <m:sty m:val="p"/>
                        </m:rPr>
                        <w:rPr>
                          <w:rFonts w:ascii="Cambria Math" w:hAnsi="Cambria Math"/>
                        </w:rPr>
                        <m:t>PE</m:t>
                      </m:r>
                    </m:e>
                  </m:d>
                </m:e>
              </m:acc>
              <m:ctrlPr>
                <w:rPr>
                  <w:rFonts w:ascii="Cambria Math" w:hAnsi="Cambria Math"/>
                  <w:i/>
                </w:rPr>
              </m:ctrlPr>
            </m:e>
            <m:sub>
              <m:r>
                <w:rPr>
                  <w:rFonts w:ascii="Cambria Math" w:hAnsi="Cambria Math"/>
                </w:rPr>
                <m:t>ijkl</m:t>
              </m:r>
            </m:sub>
          </m:sSub>
          <m:r>
            <w:rPr>
              <w:rFonts w:ascii="Cambria Math" w:hAnsi="Cambria Math"/>
            </w:rPr>
            <m:t>=</m:t>
          </m:r>
          <m:f>
            <m:fPr>
              <m:ctrlPr>
                <w:rPr>
                  <w:rFonts w:ascii="Cambria Math" w:hAnsi="Cambria Math"/>
                </w:rPr>
              </m:ctrlPr>
            </m:fPr>
            <m:num>
              <m:r>
                <w:rPr>
                  <w:rFonts w:ascii="Cambria Math" w:hAnsi="Cambria Math"/>
                </w:rPr>
                <m:t>1</m:t>
              </m:r>
            </m:num>
            <m:den>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|x</m:t>
                  </m:r>
                </m:sub>
                <m:sup>
                  <m:r>
                    <w:rPr>
                      <w:rFonts w:ascii="Cambria Math" w:hAnsi="Cambria Math"/>
                    </w:rPr>
                    <m:t>2</m:t>
                  </m:r>
                </m:sup>
              </m:sSubSup>
            </m:den>
          </m:f>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β</m:t>
                          </m:r>
                        </m:e>
                        <m:sub>
                          <m:r>
                            <w:rPr>
                              <w:rFonts w:ascii="Cambria Math" w:hAnsi="Cambria Math"/>
                            </w:rPr>
                            <m:t>ij</m:t>
                          </m:r>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m:rPr>
                                  <m:sty m:val="b"/>
                                </m:rPr>
                                <w:rPr>
                                  <w:rFonts w:ascii="Cambria Math" w:hAnsi="Cambria Math"/>
                                </w:rPr>
                                <m:t>β</m:t>
                              </m:r>
                            </m:e>
                          </m:groupChr>
                        </m:e>
                        <m:sub>
                          <m:r>
                            <m:rPr>
                              <m:sty m:val="p"/>
                            </m:rPr>
                            <w:rPr>
                              <w:rFonts w:ascii="Cambria Math" w:hAnsi="Cambria Math"/>
                            </w:rPr>
                            <m:t>ijklr</m:t>
                          </m:r>
                        </m:sub>
                      </m:sSub>
                    </m:e>
                  </m:d>
                </m:e>
                <m:sup>
                  <m:r>
                    <w:rPr>
                      <w:rFonts w:ascii="Cambria Math" w:hAnsi="Cambria Math"/>
                    </w:rPr>
                    <m:t>t</m:t>
                  </m:r>
                </m:sup>
              </m:sSup>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m:rPr>
                              <m:sty m:val="b"/>
                            </m:rPr>
                            <w:rPr>
                              <w:rFonts w:ascii="Cambria Math" w:hAnsi="Cambria Math"/>
                            </w:rPr>
                            <m:t>Σ</m:t>
                          </m:r>
                        </m:e>
                        <m:sub>
                          <m:r>
                            <w:rPr>
                              <w:rFonts w:ascii="Cambria Math" w:hAnsi="Cambria Math"/>
                            </w:rPr>
                            <m:t>xx</m:t>
                          </m:r>
                        </m:sub>
                      </m:sSub>
                    </m:e>
                  </m:d>
                </m:e>
                <m:sub>
                  <m: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b"/>
                        </m:rPr>
                        <w:rPr>
                          <w:rFonts w:ascii="Cambria Math" w:hAnsi="Cambria Math"/>
                        </w:rPr>
                        <m:t>β</m:t>
                      </m:r>
                    </m:e>
                    <m:sub>
                      <m:r>
                        <w:rPr>
                          <w:rFonts w:ascii="Cambria Math" w:hAnsi="Cambria Math"/>
                        </w:rPr>
                        <m:t>ij</m:t>
                      </m:r>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m:rPr>
                              <m:sty m:val="b"/>
                            </m:rPr>
                            <w:rPr>
                              <w:rFonts w:ascii="Cambria Math" w:hAnsi="Cambria Math"/>
                            </w:rPr>
                            <m:t>β</m:t>
                          </m:r>
                        </m:e>
                      </m:groupChr>
                    </m:e>
                    <m:sub>
                      <m:r>
                        <m:rPr>
                          <m:sty m:val="p"/>
                        </m:rPr>
                        <w:rPr>
                          <w:rFonts w:ascii="Cambria Math" w:hAnsi="Cambria Math"/>
                        </w:rPr>
                        <m:t>ijklr</m:t>
                      </m:r>
                    </m:sub>
                  </m:sSub>
                </m:e>
              </m:d>
            </m:e>
          </m:d>
          <m:r>
            <w:rPr>
              <w:rFonts w:ascii="Cambria Math" w:hAnsi="Cambria Math"/>
            </w:rPr>
            <m:t>+1</m:t>
          </m:r>
        </m:oMath>
      </m:oMathPara>
    </w:p>
    <w:p w:rsidR="0096095D" w:rsidRDefault="00CF708D">
      <w:pPr>
        <w:pStyle w:val="BodyText"/>
      </w:pPr>
      <w:r>
        <w:t xml:space="preserve">Thus there are 32 (designs) </w:t>
      </w:r>
      <m:oMath>
        <m:r>
          <w:rPr>
            <w:rFonts w:ascii="Cambria Math" w:hAnsi="Cambria Math"/>
          </w:rPr>
          <m:t>×</m:t>
        </m:r>
      </m:oMath>
      <w:r>
        <w:t xml:space="preserve"> 5 (methods) </w:t>
      </w:r>
      <m:oMath>
        <m:r>
          <w:rPr>
            <w:rFonts w:ascii="Cambria Math" w:hAnsi="Cambria Math"/>
          </w:rPr>
          <m:t>×</m:t>
        </m:r>
      </m:oMath>
      <w:r>
        <w:t xml:space="preserve"> 11 (number of components) </w:t>
      </w:r>
      <m:oMath>
        <m:r>
          <w:rPr>
            <w:rFonts w:ascii="Cambria Math" w:hAnsi="Cambria Math"/>
          </w:rPr>
          <m:t>×</m:t>
        </m:r>
      </m:oMath>
      <w:r>
        <w:t xml:space="preserve"> 50 (replications), i.e. 88000 observations corresponding to the response variables from </w:t>
      </w:r>
      <w:r>
        <w:rPr>
          <w:rStyle w:val="VerbatimChar"/>
        </w:rPr>
        <w:t>Y1</w:t>
      </w:r>
      <w:r>
        <w:t xml:space="preserve"> to </w:t>
      </w:r>
      <w:r>
        <w:rPr>
          <w:rStyle w:val="VerbatimChar"/>
        </w:rPr>
        <w:t>Y4</w:t>
      </w:r>
      <w:r>
        <w:t>.</w:t>
      </w:r>
    </w:p>
    <w:p w:rsidR="0096095D" w:rsidRDefault="00CF708D">
      <w:pPr>
        <w:pStyle w:val="BodyText"/>
      </w:pPr>
      <w:r>
        <w:t xml:space="preserve">Since our discussions focus on the average minimum prediction error that a method can obtain and the average number of components they use to get the minimum prediciton error in each replicates, the dataset discussed above is summarized to construct following two smaller datasets. Let us call them </w:t>
      </w:r>
      <w:r>
        <w:rPr>
          <w:i/>
        </w:rPr>
        <w:t>Error Dataset</w:t>
      </w:r>
      <w:r>
        <w:t xml:space="preserve"> and </w:t>
      </w:r>
      <w:r>
        <w:rPr>
          <w:i/>
        </w:rPr>
        <w:t>Component Dataset</w:t>
      </w:r>
      <w:r>
        <w:t>.</w:t>
      </w:r>
    </w:p>
    <w:p w:rsidR="0096095D" w:rsidRDefault="00CF708D">
      <w:pPr>
        <w:pStyle w:val="DefinitionTerm"/>
      </w:pPr>
      <w:r>
        <w:rPr>
          <w:i/>
        </w:rPr>
        <w:t>Error Dataset</w:t>
      </w:r>
      <w:r>
        <w:t>:</w:t>
      </w:r>
    </w:p>
    <w:p w:rsidR="0096095D" w:rsidRDefault="00CF708D">
      <w:pPr>
        <w:pStyle w:val="Definition"/>
      </w:pPr>
      <w:r>
        <w:t>For each prediction method, design and response, an average prediction error is computed over all replicates for each components. Next, a component that gives the minimum of this average prediction error is selected, i.e.,</w:t>
      </w:r>
    </w:p>
    <w:p w:rsidR="003F0D48" w:rsidRPr="00FC0A61" w:rsidRDefault="002E0E1D" w:rsidP="003F0D48">
      <w:pPr>
        <w:spacing w:after="0" w:line="240" w:lineRule="auto"/>
        <w:jc w:val="left"/>
        <w:rPr>
          <w:rFonts w:ascii="Times New Roman" w:eastAsia="Times New Roman" w:hAnsi="Times New Roman" w:cs="Times New Roman"/>
          <w:lang w:bidi="ne-NP"/>
        </w:rPr>
      </w:pPr>
      <m:oMathPara>
        <m:oMathParaPr>
          <m:jc m:val="center"/>
        </m:oMathParaPr>
        <m:oMath>
          <m:sSub>
            <m:sSubPr>
              <m:ctrlPr>
                <w:rPr>
                  <w:rFonts w:ascii="Cambria Math" w:eastAsia="Times New Roman" w:hAnsi="Cambria Math" w:cs="Times New Roman"/>
                  <w:i/>
                  <w:color w:val="333333"/>
                  <w:sz w:val="28"/>
                  <w:szCs w:val="28"/>
                  <w:lang w:bidi="ne-NP"/>
                </w:rPr>
              </m:ctrlPr>
            </m:sSubPr>
            <m:e>
              <m:r>
                <w:rPr>
                  <w:rFonts w:ascii="Cambria Math" w:eastAsia="Times New Roman" w:hAnsi="Cambria Math" w:cs="Times New Roman"/>
                  <w:color w:val="333333"/>
                  <w:sz w:val="28"/>
                  <w:szCs w:val="28"/>
                  <w:lang w:bidi="ne-NP"/>
                </w:rPr>
                <m:t>l</m:t>
              </m:r>
            </m:e>
            <m:sub>
              <m:r>
                <w:rPr>
                  <w:rFonts w:ascii="Cambria Math" w:eastAsia="Times New Roman" w:hAnsi="Cambria Math" w:cs="Times New Roman"/>
                  <w:color w:val="333333"/>
                  <w:sz w:val="28"/>
                  <w:szCs w:val="28"/>
                  <w:lang w:bidi="ne-NP"/>
                </w:rPr>
                <m:t>∘</m:t>
              </m:r>
            </m:sub>
          </m:sSub>
          <m:r>
            <w:rPr>
              <w:rFonts w:ascii="Cambria Math" w:eastAsia="Times New Roman" w:hAnsi="Cambria Math" w:cs="Times New Roman"/>
              <w:color w:val="333333"/>
              <w:sz w:val="28"/>
              <w:szCs w:val="28"/>
              <w:lang w:bidi="ne-NP"/>
            </w:rPr>
            <m:t xml:space="preserve">= </m:t>
          </m:r>
          <m:func>
            <m:funcPr>
              <m:ctrlPr>
                <w:rPr>
                  <w:rFonts w:ascii="Cambria Math" w:eastAsia="Times New Roman" w:hAnsi="Cambria Math" w:cs="Times New Roman"/>
                  <w:i/>
                  <w:color w:val="333333"/>
                  <w:sz w:val="28"/>
                  <w:szCs w:val="28"/>
                  <w:lang w:bidi="ne-NP"/>
                </w:rPr>
              </m:ctrlPr>
            </m:funcPr>
            <m:fName>
              <m:limLow>
                <m:limLowPr>
                  <m:ctrlPr>
                    <w:rPr>
                      <w:rFonts w:ascii="Cambria Math" w:eastAsia="Times New Roman" w:hAnsi="Cambria Math" w:cs="Times New Roman"/>
                      <w:i/>
                      <w:color w:val="333333"/>
                      <w:sz w:val="28"/>
                      <w:szCs w:val="28"/>
                      <w:lang w:bidi="ne-NP"/>
                    </w:rPr>
                  </m:ctrlPr>
                </m:limLowPr>
                <m:e>
                  <m:r>
                    <m:rPr>
                      <m:sty m:val="p"/>
                    </m:rPr>
                    <w:rPr>
                      <w:rFonts w:ascii="Cambria Math" w:eastAsia="Times New Roman" w:hAnsi="Cambria Math" w:cs="Times New Roman"/>
                      <w:color w:val="333333"/>
                      <w:sz w:val="28"/>
                      <w:szCs w:val="28"/>
                    </w:rPr>
                    <m:t>argmin</m:t>
                  </m:r>
                </m:e>
                <m:lim>
                  <m:r>
                    <w:rPr>
                      <w:rFonts w:ascii="Cambria Math" w:eastAsia="Times New Roman" w:hAnsi="Cambria Math" w:cs="Times New Roman"/>
                      <w:color w:val="333333"/>
                      <w:sz w:val="28"/>
                      <w:szCs w:val="28"/>
                      <w:lang w:bidi="ne-NP"/>
                    </w:rPr>
                    <m:t>l</m:t>
                  </m:r>
                </m:lim>
              </m:limLow>
            </m:fName>
            <m:e>
              <m:d>
                <m:dPr>
                  <m:begChr m:val="["/>
                  <m:endChr m:val="]"/>
                  <m:ctrlPr>
                    <w:rPr>
                      <w:rFonts w:ascii="Cambria Math" w:eastAsia="Times New Roman" w:hAnsi="Cambria Math" w:cs="Times New Roman"/>
                      <w:i/>
                      <w:color w:val="333333"/>
                      <w:sz w:val="28"/>
                      <w:szCs w:val="28"/>
                      <w:lang w:bidi="ne-NP"/>
                    </w:rPr>
                  </m:ctrlPr>
                </m:dPr>
                <m:e>
                  <m:f>
                    <m:fPr>
                      <m:ctrlPr>
                        <w:rPr>
                          <w:rFonts w:ascii="Cambria Math" w:eastAsia="Times New Roman" w:hAnsi="Cambria Math" w:cs="Times New Roman"/>
                          <w:i/>
                          <w:color w:val="333333"/>
                          <w:sz w:val="28"/>
                          <w:szCs w:val="28"/>
                          <w:lang w:bidi="ne-NP"/>
                        </w:rPr>
                      </m:ctrlPr>
                    </m:fPr>
                    <m:num>
                      <m:r>
                        <w:rPr>
                          <w:rFonts w:ascii="Cambria Math" w:eastAsia="Times New Roman" w:hAnsi="Cambria Math" w:cs="Times New Roman"/>
                          <w:color w:val="333333"/>
                          <w:sz w:val="28"/>
                          <w:szCs w:val="28"/>
                          <w:lang w:bidi="ne-NP"/>
                        </w:rPr>
                        <m:t>1</m:t>
                      </m:r>
                    </m:num>
                    <m:den>
                      <m:r>
                        <w:rPr>
                          <w:rFonts w:ascii="Cambria Math" w:eastAsia="Times New Roman" w:hAnsi="Cambria Math" w:cs="Times New Roman"/>
                          <w:color w:val="333333"/>
                          <w:sz w:val="28"/>
                          <w:szCs w:val="28"/>
                          <w:lang w:bidi="ne-NP"/>
                        </w:rPr>
                        <m:t>50</m:t>
                      </m:r>
                    </m:den>
                  </m:f>
                  <m:nary>
                    <m:naryPr>
                      <m:chr m:val="∑"/>
                      <m:limLoc m:val="undOvr"/>
                      <m:ctrlPr>
                        <w:rPr>
                          <w:rFonts w:ascii="Cambria Math" w:eastAsia="Times New Roman" w:hAnsi="Cambria Math" w:cs="Times New Roman"/>
                          <w:i/>
                          <w:color w:val="333333"/>
                          <w:sz w:val="28"/>
                          <w:szCs w:val="28"/>
                          <w:lang w:bidi="ne-NP"/>
                        </w:rPr>
                      </m:ctrlPr>
                    </m:naryPr>
                    <m:sub>
                      <m:r>
                        <w:rPr>
                          <w:rFonts w:ascii="Cambria Math" w:eastAsia="Times New Roman" w:hAnsi="Cambria Math" w:cs="Times New Roman"/>
                          <w:color w:val="333333"/>
                          <w:sz w:val="28"/>
                          <w:szCs w:val="28"/>
                          <w:lang w:bidi="ne-NP"/>
                        </w:rPr>
                        <m:t>i=1</m:t>
                      </m:r>
                    </m:sub>
                    <m:sup>
                      <m:r>
                        <w:rPr>
                          <w:rFonts w:ascii="Cambria Math" w:eastAsia="Times New Roman" w:hAnsi="Cambria Math" w:cs="Times New Roman"/>
                          <w:color w:val="333333"/>
                          <w:sz w:val="28"/>
                          <w:szCs w:val="28"/>
                          <w:lang w:bidi="ne-NP"/>
                        </w:rPr>
                        <m:t>50</m:t>
                      </m:r>
                    </m:sup>
                    <m:e>
                      <m:sSub>
                        <m:sSubPr>
                          <m:ctrlPr>
                            <w:rPr>
                              <w:rFonts w:ascii="Cambria Math" w:eastAsia="Times New Roman" w:hAnsi="Cambria Math" w:cs="Times New Roman"/>
                              <w:i/>
                              <w:color w:val="333333"/>
                              <w:sz w:val="28"/>
                              <w:szCs w:val="28"/>
                              <w:lang w:bidi="ne-NP"/>
                            </w:rPr>
                          </m:ctrlPr>
                        </m:sSubPr>
                        <m:e>
                          <m:d>
                            <m:dPr>
                              <m:ctrlPr>
                                <w:rPr>
                                  <w:rFonts w:ascii="Cambria Math" w:eastAsia="Times New Roman" w:hAnsi="Cambria Math" w:cs="Times New Roman"/>
                                  <w:i/>
                                  <w:color w:val="333333"/>
                                  <w:sz w:val="28"/>
                                  <w:szCs w:val="28"/>
                                  <w:lang w:bidi="ne-NP"/>
                                </w:rPr>
                              </m:ctrlPr>
                            </m:dPr>
                            <m:e>
                              <m:r>
                                <m:rPr>
                                  <m:scr m:val="script"/>
                                </m:rPr>
                                <w:rPr>
                                  <w:rFonts w:ascii="Cambria Math" w:eastAsia="Times New Roman" w:hAnsi="Cambria Math" w:cs="Times New Roman"/>
                                  <w:color w:val="333333"/>
                                  <w:sz w:val="28"/>
                                  <w:szCs w:val="28"/>
                                  <w:lang w:bidi="ne-NP"/>
                                </w:rPr>
                                <m:t>P</m:t>
                              </m:r>
                              <m:sSub>
                                <m:sSubPr>
                                  <m:ctrlPr>
                                    <w:rPr>
                                      <w:rFonts w:ascii="Cambria Math" w:eastAsia="Times New Roman" w:hAnsi="Cambria Math" w:cs="Times New Roman"/>
                                      <w:i/>
                                      <w:color w:val="333333"/>
                                      <w:sz w:val="28"/>
                                      <w:szCs w:val="28"/>
                                      <w:lang w:bidi="ne-NP"/>
                                    </w:rPr>
                                  </m:ctrlPr>
                                </m:sSubPr>
                                <m:e>
                                  <m:r>
                                    <m:rPr>
                                      <m:scr m:val="script"/>
                                    </m:rPr>
                                    <w:rPr>
                                      <w:rFonts w:ascii="Cambria Math" w:eastAsia="Times New Roman" w:hAnsi="Cambria Math" w:cs="Times New Roman"/>
                                      <w:color w:val="333333"/>
                                      <w:sz w:val="28"/>
                                      <w:szCs w:val="28"/>
                                      <w:lang w:bidi="ne-NP"/>
                                    </w:rPr>
                                    <m:t>E</m:t>
                                  </m:r>
                                </m:e>
                                <m:sub>
                                  <m:r>
                                    <w:rPr>
                                      <w:rFonts w:ascii="Cambria Math" w:eastAsia="Times New Roman" w:hAnsi="Cambria Math" w:cs="Times New Roman"/>
                                      <w:color w:val="333333"/>
                                      <w:sz w:val="28"/>
                                      <w:szCs w:val="28"/>
                                      <w:lang w:bidi="ne-NP"/>
                                    </w:rPr>
                                    <m:t>∘</m:t>
                                  </m:r>
                                </m:sub>
                              </m:sSub>
                            </m:e>
                          </m:d>
                        </m:e>
                        <m:sub>
                          <m:r>
                            <w:rPr>
                              <w:rFonts w:ascii="Cambria Math" w:eastAsia="Times New Roman" w:hAnsi="Cambria Math" w:cs="Times New Roman"/>
                              <w:color w:val="333333"/>
                              <w:sz w:val="28"/>
                              <w:szCs w:val="28"/>
                              <w:lang w:bidi="ne-NP"/>
                            </w:rPr>
                            <m:t>ijklr</m:t>
                          </m:r>
                        </m:sub>
                      </m:sSub>
                    </m:e>
                  </m:nary>
                </m:e>
              </m:d>
            </m:e>
          </m:func>
          <m:r>
            <w:rPr>
              <w:rFonts w:ascii="Cambria Math" w:hAnsi="Cambria Math"/>
            </w:rPr>
            <m:t>  (9)</m:t>
          </m:r>
        </m:oMath>
      </m:oMathPara>
    </w:p>
    <w:p w:rsidR="0096095D" w:rsidRDefault="00CF708D">
      <w:pPr>
        <w:pStyle w:val="Definition"/>
      </w:pPr>
      <w:r>
        <w:t xml:space="preserve">Using the component </w:t>
      </w:r>
      <m:oMath>
        <m:sSub>
          <m:sSubPr>
            <m:ctrlPr>
              <w:rPr>
                <w:rFonts w:ascii="Cambria Math" w:hAnsi="Cambria Math"/>
              </w:rPr>
            </m:ctrlPr>
          </m:sSubPr>
          <m:e>
            <m:r>
              <w:rPr>
                <w:rFonts w:ascii="Cambria Math" w:hAnsi="Cambria Math"/>
              </w:rPr>
              <m:t>l</m:t>
            </m:r>
          </m:e>
          <m:sub>
            <m:r>
              <w:rPr>
                <w:rFonts w:ascii="Cambria Math" w:hAnsi="Cambria Math"/>
              </w:rPr>
              <m:t>∘</m:t>
            </m:r>
          </m:sub>
        </m:sSub>
      </m:oMath>
      <w:r>
        <w:t xml:space="preserve">, a dataset of </w:t>
      </w:r>
      <m:oMath>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m:rPr>
                        <m:scr m:val="script"/>
                        <m:sty m:val="p"/>
                      </m:rPr>
                      <w:rPr>
                        <w:rFonts w:ascii="Cambria Math" w:hAnsi="Cambria Math"/>
                      </w:rPr>
                      <m:t>PE</m:t>
                    </m:r>
                  </m:e>
                  <m:sub>
                    <m:r>
                      <w:rPr>
                        <w:rFonts w:ascii="Cambria Math" w:hAnsi="Cambria Math"/>
                      </w:rPr>
                      <m:t>∘</m:t>
                    </m:r>
                  </m:sub>
                </m:sSub>
              </m:e>
            </m:d>
          </m:e>
          <m:sub>
            <m:r>
              <w:rPr>
                <w:rFonts w:ascii="Cambria Math" w:hAnsi="Cambria Math"/>
              </w:rPr>
              <m:t>ijk</m:t>
            </m:r>
            <m:sSub>
              <m:sSubPr>
                <m:ctrlPr>
                  <w:rPr>
                    <w:rFonts w:ascii="Cambria Math" w:hAnsi="Cambria Math"/>
                  </w:rPr>
                </m:ctrlPr>
              </m:sSubPr>
              <m:e>
                <m:r>
                  <w:rPr>
                    <w:rFonts w:ascii="Cambria Math" w:hAnsi="Cambria Math"/>
                  </w:rPr>
                  <m:t>l</m:t>
                </m:r>
              </m:e>
              <m:sub>
                <m:r>
                  <w:rPr>
                    <w:rFonts w:ascii="Cambria Math" w:hAnsi="Cambria Math"/>
                  </w:rPr>
                  <m:t>∘</m:t>
                </m:r>
              </m:sub>
            </m:sSub>
            <m:r>
              <w:rPr>
                <w:rFonts w:ascii="Cambria Math" w:hAnsi="Cambria Math"/>
              </w:rPr>
              <m:t>r</m:t>
            </m:r>
          </m:sub>
        </m:sSub>
      </m:oMath>
      <w:r>
        <w:t xml:space="preserve"> is used as the </w:t>
      </w:r>
      <w:r>
        <w:rPr>
          <w:i/>
        </w:rPr>
        <w:t>Error Dataset</w:t>
      </w:r>
      <w:r>
        <w:t xml:space="preserve">. Let </w:t>
      </w:r>
      <m:oMath>
        <m:sSub>
          <m:sSubPr>
            <m:ctrlPr>
              <w:rPr>
                <w:rFonts w:ascii="Cambria Math" w:hAnsi="Cambria Math"/>
              </w:rPr>
            </m:ctrlPr>
          </m:sSubPr>
          <m:e>
            <m:r>
              <m:rPr>
                <m:sty m:val="b"/>
              </m:rPr>
              <w:rPr>
                <w:rFonts w:ascii="Cambria Math" w:hAnsi="Cambria Math"/>
              </w:rPr>
              <m:t>u</m:t>
            </m:r>
          </m:e>
          <m:sub>
            <m:r>
              <w:rPr>
                <w:rFonts w:ascii="Cambria Math" w:hAnsi="Cambria Math"/>
              </w:rPr>
              <m:t>(8000×4)</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rPr>
          <m:t>)</m:t>
        </m:r>
      </m:oMath>
      <w:r>
        <w:t xml:space="preserve"> for </w:t>
      </w:r>
      <m:oMath>
        <m:r>
          <w:rPr>
            <w:rFonts w:ascii="Cambria Math" w:hAnsi="Cambria Math"/>
          </w:rPr>
          <m:t>j=1,…4</m:t>
        </m:r>
      </m:oMath>
      <w:r>
        <w:t xml:space="preserve"> be the outcome variables measuring the prediction error corresponding to the response number </w:t>
      </w:r>
      <m:oMath>
        <m:r>
          <w:rPr>
            <w:rFonts w:ascii="Cambria Math" w:hAnsi="Cambria Math"/>
          </w:rPr>
          <m:t>j</m:t>
        </m:r>
      </m:oMath>
      <w:r>
        <w:t xml:space="preserve"> in the context of this dataset.</w:t>
      </w:r>
    </w:p>
    <w:p w:rsidR="0096095D" w:rsidRDefault="00CF708D">
      <w:pPr>
        <w:pStyle w:val="DefinitionTerm"/>
      </w:pPr>
      <w:r>
        <w:rPr>
          <w:i/>
        </w:rPr>
        <w:t>Component Dataset</w:t>
      </w:r>
      <w:r>
        <w:t>:</w:t>
      </w:r>
    </w:p>
    <w:p w:rsidR="0096095D" w:rsidRDefault="00CF708D">
      <w:pPr>
        <w:pStyle w:val="Definition"/>
      </w:pPr>
      <w:r>
        <w:t xml:space="preserve">The number of components that gives the minimum prediction error in each replication is referred to as the </w:t>
      </w:r>
      <w:r>
        <w:rPr>
          <w:i/>
        </w:rPr>
        <w:t>Component Dataset</w:t>
      </w:r>
      <w:r>
        <w:t>, i.e.,</w:t>
      </w:r>
    </w:p>
    <w:p w:rsidR="003F0D48" w:rsidRPr="00FC0A61" w:rsidRDefault="002E0E1D" w:rsidP="003F0D48">
      <w:pPr>
        <w:spacing w:after="0" w:line="240" w:lineRule="auto"/>
        <w:jc w:val="left"/>
        <w:rPr>
          <w:rFonts w:ascii="Times New Roman" w:eastAsia="Times New Roman" w:hAnsi="Times New Roman" w:cs="Times New Roman"/>
          <w:lang w:val="nb-NO" w:bidi="ne-NP"/>
        </w:rPr>
      </w:pPr>
      <m:oMathPara>
        <m:oMathParaPr>
          <m:jc m:val="center"/>
        </m:oMathParaPr>
        <m:oMath>
          <m:sSub>
            <m:sSubPr>
              <m:ctrlPr>
                <w:rPr>
                  <w:rFonts w:ascii="Cambria Math" w:eastAsia="Times New Roman" w:hAnsi="Cambria Math" w:cs="Times New Roman"/>
                  <w:i/>
                  <w:color w:val="333333"/>
                  <w:sz w:val="28"/>
                  <w:szCs w:val="28"/>
                  <w:lang w:bidi="ne-NP"/>
                </w:rPr>
              </m:ctrlPr>
            </m:sSubPr>
            <m:e>
              <m:r>
                <w:rPr>
                  <w:rFonts w:ascii="Cambria Math" w:eastAsia="Times New Roman" w:hAnsi="Cambria Math" w:cs="Times New Roman"/>
                  <w:color w:val="333333"/>
                  <w:sz w:val="28"/>
                  <w:szCs w:val="28"/>
                  <w:lang w:bidi="ne-NP"/>
                </w:rPr>
                <m:t>l</m:t>
              </m:r>
            </m:e>
            <m:sub>
              <m:r>
                <w:rPr>
                  <w:rFonts w:ascii="Cambria Math" w:eastAsia="Times New Roman" w:hAnsi="Cambria Math" w:cs="Times New Roman"/>
                  <w:color w:val="333333"/>
                  <w:sz w:val="28"/>
                  <w:szCs w:val="28"/>
                  <w:lang w:bidi="ne-NP"/>
                </w:rPr>
                <m:t>∘</m:t>
              </m:r>
            </m:sub>
          </m:sSub>
          <m:r>
            <w:rPr>
              <w:rFonts w:ascii="Cambria Math" w:eastAsia="Times New Roman" w:hAnsi="Cambria Math" w:cs="Times New Roman"/>
              <w:color w:val="333333"/>
              <w:sz w:val="28"/>
              <w:szCs w:val="28"/>
              <w:lang w:bidi="ne-NP"/>
            </w:rPr>
            <m:t xml:space="preserve">= </m:t>
          </m:r>
          <m:func>
            <m:funcPr>
              <m:ctrlPr>
                <w:rPr>
                  <w:rFonts w:ascii="Cambria Math" w:eastAsia="Times New Roman" w:hAnsi="Cambria Math" w:cs="Times New Roman"/>
                  <w:i/>
                  <w:color w:val="333333"/>
                  <w:sz w:val="28"/>
                  <w:szCs w:val="28"/>
                  <w:lang w:bidi="ne-NP"/>
                </w:rPr>
              </m:ctrlPr>
            </m:funcPr>
            <m:fName>
              <m:limLow>
                <m:limLowPr>
                  <m:ctrlPr>
                    <w:rPr>
                      <w:rFonts w:ascii="Cambria Math" w:eastAsia="Times New Roman" w:hAnsi="Cambria Math" w:cs="Times New Roman"/>
                      <w:i/>
                      <w:color w:val="333333"/>
                      <w:sz w:val="28"/>
                      <w:szCs w:val="28"/>
                      <w:lang w:bidi="ne-NP"/>
                    </w:rPr>
                  </m:ctrlPr>
                </m:limLowPr>
                <m:e>
                  <m:r>
                    <m:rPr>
                      <m:sty m:val="p"/>
                    </m:rPr>
                    <w:rPr>
                      <w:rFonts w:ascii="Cambria Math" w:eastAsia="Times New Roman" w:hAnsi="Cambria Math" w:cs="Times New Roman"/>
                      <w:color w:val="333333"/>
                      <w:sz w:val="28"/>
                      <w:szCs w:val="28"/>
                    </w:rPr>
                    <m:t>argmin</m:t>
                  </m:r>
                </m:e>
                <m:lim>
                  <m:r>
                    <w:rPr>
                      <w:rFonts w:ascii="Cambria Math" w:eastAsia="Times New Roman" w:hAnsi="Cambria Math" w:cs="Times New Roman"/>
                      <w:color w:val="333333"/>
                      <w:sz w:val="28"/>
                      <w:szCs w:val="28"/>
                      <w:lang w:bidi="ne-NP"/>
                    </w:rPr>
                    <m:t>l</m:t>
                  </m:r>
                </m:lim>
              </m:limLow>
            </m:fName>
            <m:e>
              <m:d>
                <m:dPr>
                  <m:begChr m:val="["/>
                  <m:endChr m:val="]"/>
                  <m:ctrlPr>
                    <w:rPr>
                      <w:rFonts w:ascii="Cambria Math" w:eastAsia="Times New Roman" w:hAnsi="Cambria Math" w:cs="Times New Roman"/>
                      <w:i/>
                      <w:color w:val="333333"/>
                      <w:sz w:val="28"/>
                      <w:szCs w:val="28"/>
                      <w:lang w:bidi="ne-NP"/>
                    </w:rPr>
                  </m:ctrlPr>
                </m:dPr>
                <m:e>
                  <m:sSub>
                    <m:sSubPr>
                      <m:ctrlPr>
                        <w:rPr>
                          <w:rFonts w:ascii="Cambria Math" w:eastAsia="Times New Roman" w:hAnsi="Cambria Math" w:cs="Times New Roman"/>
                          <w:i/>
                          <w:color w:val="333333"/>
                          <w:sz w:val="28"/>
                          <w:szCs w:val="28"/>
                          <w:lang w:bidi="ne-NP"/>
                        </w:rPr>
                      </m:ctrlPr>
                    </m:sSubPr>
                    <m:e>
                      <m:d>
                        <m:dPr>
                          <m:ctrlPr>
                            <w:rPr>
                              <w:rFonts w:ascii="Cambria Math" w:eastAsia="Times New Roman" w:hAnsi="Cambria Math" w:cs="Times New Roman"/>
                              <w:i/>
                              <w:color w:val="333333"/>
                              <w:sz w:val="28"/>
                              <w:szCs w:val="28"/>
                              <w:lang w:bidi="ne-NP"/>
                            </w:rPr>
                          </m:ctrlPr>
                        </m:dPr>
                        <m:e>
                          <m:r>
                            <m:rPr>
                              <m:scr m:val="script"/>
                            </m:rPr>
                            <w:rPr>
                              <w:rFonts w:ascii="Cambria Math" w:eastAsia="Times New Roman" w:hAnsi="Cambria Math" w:cs="Times New Roman"/>
                              <w:color w:val="333333"/>
                              <w:sz w:val="28"/>
                              <w:szCs w:val="28"/>
                              <w:lang w:bidi="ne-NP"/>
                            </w:rPr>
                            <m:t>PE</m:t>
                          </m:r>
                        </m:e>
                      </m:d>
                    </m:e>
                    <m:sub>
                      <m:r>
                        <w:rPr>
                          <w:rFonts w:ascii="Cambria Math" w:eastAsia="Times New Roman" w:hAnsi="Cambria Math" w:cs="Times New Roman"/>
                          <w:color w:val="333333"/>
                          <w:sz w:val="28"/>
                          <w:szCs w:val="28"/>
                          <w:lang w:bidi="ne-NP"/>
                        </w:rPr>
                        <m:t>ijklr</m:t>
                      </m:r>
                    </m:sub>
                  </m:sSub>
                </m:e>
              </m:d>
            </m:e>
          </m:func>
          <m:r>
            <w:rPr>
              <w:rFonts w:ascii="Cambria Math" w:hAnsi="Cambria Math"/>
            </w:rPr>
            <m:t>  (10)</m:t>
          </m:r>
        </m:oMath>
      </m:oMathPara>
    </w:p>
    <w:p w:rsidR="0096095D" w:rsidRDefault="00CF708D">
      <w:pPr>
        <w:pStyle w:val="Definition"/>
      </w:pPr>
      <w:r>
        <w:t xml:space="preserve">Here </w:t>
      </w:r>
      <m:oMath>
        <m:sSub>
          <m:sSubPr>
            <m:ctrlPr>
              <w:rPr>
                <w:rFonts w:ascii="Cambria Math" w:hAnsi="Cambria Math"/>
              </w:rPr>
            </m:ctrlPr>
          </m:sSubPr>
          <m:e>
            <m:r>
              <w:rPr>
                <w:rFonts w:ascii="Cambria Math" w:hAnsi="Cambria Math"/>
              </w:rPr>
              <m:t>l</m:t>
            </m:r>
          </m:e>
          <m:sub>
            <m:r>
              <w:rPr>
                <w:rFonts w:ascii="Cambria Math" w:hAnsi="Cambria Math"/>
              </w:rPr>
              <m:t>∘</m:t>
            </m:r>
          </m:sub>
        </m:sSub>
      </m:oMath>
      <w:r>
        <w:t xml:space="preserve"> is the number of components that gives minimum prediction error </w:t>
      </w:r>
      <m:oMath>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m:rPr>
                        <m:scr m:val="script"/>
                        <m:sty m:val="p"/>
                      </m:rPr>
                      <w:rPr>
                        <w:rFonts w:ascii="Cambria Math" w:hAnsi="Cambria Math"/>
                      </w:rPr>
                      <m:t>PE</m:t>
                    </m:r>
                  </m:e>
                  <m:sub>
                    <m:r>
                      <w:rPr>
                        <w:rFonts w:ascii="Cambria Math" w:hAnsi="Cambria Math"/>
                      </w:rPr>
                      <m:t>∘</m:t>
                    </m:r>
                  </m:sub>
                </m:sSub>
              </m:e>
            </m:d>
          </m:e>
          <m:sub>
            <m:r>
              <w:rPr>
                <w:rFonts w:ascii="Cambria Math" w:hAnsi="Cambria Math"/>
              </w:rPr>
              <m:t>ijklr</m:t>
            </m:r>
          </m:sub>
        </m:sSub>
      </m:oMath>
      <w:r>
        <w:t xml:space="preserve"> for design </w:t>
      </w:r>
      <m:oMath>
        <m:r>
          <w:rPr>
            <w:rFonts w:ascii="Cambria Math" w:hAnsi="Cambria Math"/>
          </w:rPr>
          <m:t>i</m:t>
        </m:r>
      </m:oMath>
      <w:r>
        <w:t xml:space="preserve">, response </w:t>
      </w:r>
      <m:oMath>
        <m:r>
          <w:rPr>
            <w:rFonts w:ascii="Cambria Math" w:hAnsi="Cambria Math"/>
          </w:rPr>
          <m:t>j</m:t>
        </m:r>
      </m:oMath>
      <w:r>
        <w:t xml:space="preserve">, method </w:t>
      </w:r>
      <m:oMath>
        <m:r>
          <w:rPr>
            <w:rFonts w:ascii="Cambria Math" w:hAnsi="Cambria Math"/>
          </w:rPr>
          <m:t>k</m:t>
        </m:r>
      </m:oMath>
      <w:r>
        <w:t xml:space="preserve"> and replicate </w:t>
      </w:r>
      <m:oMath>
        <m:r>
          <w:rPr>
            <w:rFonts w:ascii="Cambria Math" w:hAnsi="Cambria Math"/>
          </w:rPr>
          <m:t>r</m:t>
        </m:r>
      </m:oMath>
      <w:r>
        <w:t xml:space="preserve">. Let </w:t>
      </w:r>
      <m:oMath>
        <m:sSub>
          <m:sSubPr>
            <m:ctrlPr>
              <w:rPr>
                <w:rFonts w:ascii="Cambria Math" w:hAnsi="Cambria Math"/>
              </w:rPr>
            </m:ctrlPr>
          </m:sSubPr>
          <m:e>
            <m:r>
              <m:rPr>
                <m:sty m:val="b"/>
              </m:rPr>
              <w:rPr>
                <w:rFonts w:ascii="Cambria Math" w:hAnsi="Cambria Math"/>
              </w:rPr>
              <m:t>v</m:t>
            </m:r>
          </m:e>
          <m:sub>
            <m:r>
              <w:rPr>
                <w:rFonts w:ascii="Cambria Math" w:hAnsi="Cambria Math"/>
              </w:rPr>
              <m:t>(8000×4)</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oMath>
      <w:r>
        <w:t xml:space="preserve"> for </w:t>
      </w:r>
      <m:oMath>
        <m:r>
          <w:rPr>
            <w:rFonts w:ascii="Cambria Math" w:hAnsi="Cambria Math"/>
          </w:rPr>
          <m:t>j=1,…4</m:t>
        </m:r>
      </m:oMath>
      <w:r>
        <w:t xml:space="preserve"> be the outcome variables measuring the number of components used for minimum prediction error corresponding to the response </w:t>
      </w:r>
      <m:oMath>
        <m:r>
          <w:rPr>
            <w:rFonts w:ascii="Cambria Math" w:hAnsi="Cambria Math"/>
          </w:rPr>
          <m:t>j</m:t>
        </m:r>
      </m:oMath>
      <w:r>
        <w:t xml:space="preserve"> in the context of this dataset.</w:t>
      </w:r>
    </w:p>
    <w:p w:rsidR="0096095D" w:rsidRDefault="00CF708D">
      <w:pPr>
        <w:pStyle w:val="Heading1"/>
      </w:pPr>
      <w:bookmarkStart w:id="8" w:name="exploration"/>
      <w:bookmarkEnd w:id="8"/>
      <w:r>
        <w:lastRenderedPageBreak/>
        <w:t>Exploration</w:t>
      </w:r>
    </w:p>
    <w:p w:rsidR="0096095D" w:rsidRDefault="00CF708D">
      <w:pPr>
        <w:pStyle w:val="FirstParagraph"/>
      </w:pPr>
      <w:r>
        <w:t xml:space="preserve">This section explores the variation in the </w:t>
      </w:r>
      <w:r>
        <w:rPr>
          <w:i/>
        </w:rPr>
        <w:t>error dataset</w:t>
      </w:r>
      <w:r>
        <w:t xml:space="preserve"> and the </w:t>
      </w:r>
      <w:r>
        <w:rPr>
          <w:i/>
        </w:rPr>
        <w:t>component dataset</w:t>
      </w:r>
      <w:r>
        <w:t xml:space="preserve"> for which we have used Principal Component Analysis (PCA). Let </w:t>
      </w:r>
      <m:oMath>
        <m:sSub>
          <m:sSubPr>
            <m:ctrlPr>
              <w:rPr>
                <w:rFonts w:ascii="Cambria Math" w:hAnsi="Cambria Math"/>
              </w:rPr>
            </m:ctrlPr>
          </m:sSubPr>
          <m:e>
            <m:r>
              <m:rPr>
                <m:sty m:val="b"/>
              </m:rPr>
              <w:rPr>
                <w:rFonts w:ascii="Cambria Math" w:hAnsi="Cambria Math"/>
              </w:rPr>
              <m:t>t</m:t>
            </m:r>
          </m:e>
          <m:sub>
            <m:r>
              <w:rPr>
                <w:rFonts w:ascii="Cambria Math" w:hAnsi="Cambria Math"/>
              </w:rPr>
              <m:t>u</m:t>
            </m:r>
          </m:sub>
        </m:sSub>
      </m:oMath>
      <w:r>
        <w:t xml:space="preserve"> and </w:t>
      </w:r>
      <m:oMath>
        <m:sSub>
          <m:sSubPr>
            <m:ctrlPr>
              <w:rPr>
                <w:rFonts w:ascii="Cambria Math" w:hAnsi="Cambria Math"/>
              </w:rPr>
            </m:ctrlPr>
          </m:sSubPr>
          <m:e>
            <m:r>
              <m:rPr>
                <m:sty m:val="b"/>
              </m:rPr>
              <w:rPr>
                <w:rFonts w:ascii="Cambria Math" w:hAnsi="Cambria Math"/>
              </w:rPr>
              <m:t>t</m:t>
            </m:r>
          </m:e>
          <m:sub>
            <m:r>
              <w:rPr>
                <w:rFonts w:ascii="Cambria Math" w:hAnsi="Cambria Math"/>
              </w:rPr>
              <m:t>v</m:t>
            </m:r>
          </m:sub>
        </m:sSub>
      </m:oMath>
      <w:r>
        <w:t xml:space="preserve"> be the principal component score sets corresponding to PCA run on the </w:t>
      </w:r>
      <m:oMath>
        <m:r>
          <m:rPr>
            <m:sty m:val="b"/>
          </m:rPr>
          <w:rPr>
            <w:rFonts w:ascii="Cambria Math" w:hAnsi="Cambria Math"/>
          </w:rPr>
          <m:t>u</m:t>
        </m:r>
      </m:oMath>
      <w:r>
        <w:t xml:space="preserve"> and </w:t>
      </w:r>
      <m:oMath>
        <m:r>
          <m:rPr>
            <m:sty m:val="b"/>
          </m:rPr>
          <w:rPr>
            <w:rFonts w:ascii="Cambria Math" w:hAnsi="Cambria Math"/>
          </w:rPr>
          <m:t>v</m:t>
        </m:r>
      </m:oMath>
      <w:r>
        <w:t xml:space="preserve"> matrices respectively. The scores density in Figure-5 corresponds to the first principal component of </w:t>
      </w:r>
      <m:oMath>
        <m:r>
          <m:rPr>
            <m:sty m:val="b"/>
          </m:rPr>
          <w:rPr>
            <w:rFonts w:ascii="Cambria Math" w:hAnsi="Cambria Math"/>
          </w:rPr>
          <m:t>u</m:t>
        </m:r>
      </m:oMath>
      <w:r>
        <w:t xml:space="preserve">, i.e. the first column of </w:t>
      </w:r>
      <m:oMath>
        <m:sSub>
          <m:sSubPr>
            <m:ctrlPr>
              <w:rPr>
                <w:rFonts w:ascii="Cambria Math" w:hAnsi="Cambria Math"/>
              </w:rPr>
            </m:ctrlPr>
          </m:sSubPr>
          <m:e>
            <m:r>
              <m:rPr>
                <m:sty m:val="b"/>
              </m:rPr>
              <w:rPr>
                <w:rFonts w:ascii="Cambria Math" w:hAnsi="Cambria Math"/>
              </w:rPr>
              <m:t>t</m:t>
            </m:r>
          </m:e>
          <m:sub>
            <m:r>
              <w:rPr>
                <w:rFonts w:ascii="Cambria Math" w:hAnsi="Cambria Math"/>
              </w:rPr>
              <m:t>u</m:t>
            </m:r>
          </m:sub>
        </m:sSub>
      </m:oMath>
      <w:r>
        <w:t>.</w:t>
      </w:r>
    </w:p>
    <w:p w:rsidR="0096095D" w:rsidRDefault="00CF708D">
      <w:pPr>
        <w:pStyle w:val="BodyText"/>
      </w:pPr>
      <w:r>
        <w:t xml:space="preserve">Since higher prediction errors corresponds to high scores, the plot shows that the PCR, PLS1 and PLS2 methods are influenced by the two levels of position of relevant predictor components. When the relevant predictors are at positions 5, 6, 7, 8, the eigenvalues corresponding to them are relatively smaller. This also suggests that PCR, PLS1 and PLS2 depends heavily on the position of the relevant components and the variation of these components affect their prediction performance. However, the envelope methods appeared to be less influenced by </w:t>
      </w:r>
      <w:r>
        <w:rPr>
          <w:rStyle w:val="VerbatimChar"/>
        </w:rPr>
        <w:t>relpos</w:t>
      </w:r>
      <w:r>
        <w:t xml:space="preserve"> in this regard.</w:t>
      </w:r>
    </w:p>
    <w:p w:rsidR="0096095D" w:rsidRDefault="00CF708D">
      <w:pPr>
        <w:pStyle w:val="FigurewithCaption"/>
      </w:pPr>
      <w:r>
        <w:rPr>
          <w:noProof/>
        </w:rPr>
        <w:drawing>
          <wp:inline distT="0" distB="0" distL="0" distR="0">
            <wp:extent cx="5400000" cy="4320000"/>
            <wp:effectExtent l="0" t="0" r="0" b="0"/>
            <wp:docPr id="5" name="Picture" descr="Figure 5 Scores density corresponding to first principal component of error dataset (\mathbf{u}) subdivided by methods, gamma and eta and grouped by rel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ain_files/figure-docx/pred-pca-hist-mthd-gamma-relpos-1.png"/>
                    <pic:cNvPicPr>
                      <a:picLocks noChangeAspect="1" noChangeArrowheads="1"/>
                    </pic:cNvPicPr>
                  </pic:nvPicPr>
                  <pic:blipFill>
                    <a:blip r:embed="rId12"/>
                    <a:stretch>
                      <a:fillRect/>
                    </a:stretch>
                  </pic:blipFill>
                  <pic:spPr bwMode="auto">
                    <a:xfrm>
                      <a:off x="0" y="0"/>
                      <a:ext cx="5400000" cy="4320000"/>
                    </a:xfrm>
                    <a:prstGeom prst="rect">
                      <a:avLst/>
                    </a:prstGeom>
                    <a:noFill/>
                    <a:ln w="9525">
                      <a:noFill/>
                      <a:headEnd/>
                      <a:tailEnd/>
                    </a:ln>
                  </pic:spPr>
                </pic:pic>
              </a:graphicData>
            </a:graphic>
          </wp:inline>
        </w:drawing>
      </w:r>
    </w:p>
    <w:p w:rsidR="0096095D" w:rsidRDefault="00CF708D">
      <w:pPr>
        <w:pStyle w:val="ImageCaption"/>
      </w:pPr>
      <w:r>
        <w:t>Figure 5 Scores density corresponding to first principal component of error dataset (</w:t>
      </w:r>
      <m:oMath>
        <m:r>
          <m:rPr>
            <m:sty m:val="bi"/>
          </m:rPr>
          <w:rPr>
            <w:rFonts w:ascii="Cambria Math" w:hAnsi="Cambria Math"/>
          </w:rPr>
          <m:t>u</m:t>
        </m:r>
      </m:oMath>
      <w:r>
        <w:t xml:space="preserve">) subdivided by </w:t>
      </w:r>
      <w:r>
        <w:rPr>
          <w:rStyle w:val="VerbatimChar"/>
        </w:rPr>
        <w:t>methods</w:t>
      </w:r>
      <w:r>
        <w:t xml:space="preserve">, </w:t>
      </w:r>
      <w:r>
        <w:rPr>
          <w:rStyle w:val="VerbatimChar"/>
        </w:rPr>
        <w:t>gamma</w:t>
      </w:r>
      <w:r>
        <w:t xml:space="preserve"> and </w:t>
      </w:r>
      <w:r>
        <w:rPr>
          <w:rStyle w:val="VerbatimChar"/>
        </w:rPr>
        <w:t>eta</w:t>
      </w:r>
      <w:r>
        <w:t xml:space="preserve"> and grouped by </w:t>
      </w:r>
      <w:r>
        <w:rPr>
          <w:rStyle w:val="VerbatimChar"/>
        </w:rPr>
        <w:t>relpos</w:t>
      </w:r>
      <w:r>
        <w:t>.</w:t>
      </w:r>
    </w:p>
    <w:p w:rsidR="0096095D" w:rsidRDefault="00CF708D">
      <w:pPr>
        <w:pStyle w:val="BodyText"/>
      </w:pPr>
      <w:r>
        <w:lastRenderedPageBreak/>
        <w:t xml:space="preserve">In addition, the plot also shows that the effect of </w:t>
      </w:r>
      <w:r>
        <w:rPr>
          <w:rStyle w:val="VerbatimChar"/>
        </w:rPr>
        <w:t>gamma</w:t>
      </w:r>
      <w:r>
        <w:t>, i.e., the level of multicollinearity, has smaller effect when the relevant predictors are at positions 1, 2, 3, 4. This indicates that the methods are somewhat robust to handle collinear predictors. Although, when the relevant predictors are at positions 5, 6, 7, 8, high multicollinearity results in small variance of these relevant components and consequently gives poor prediction. This is in accordance with the findings by Helland and Almøy (</w:t>
      </w:r>
      <w:hyperlink w:anchor="ref-Helland1994b">
        <w:r>
          <w:rPr>
            <w:rStyle w:val="Hyperlink"/>
          </w:rPr>
          <w:t>1994</w:t>
        </w:r>
      </w:hyperlink>
      <w:r>
        <w:t>).</w:t>
      </w:r>
    </w:p>
    <w:p w:rsidR="0096095D" w:rsidRDefault="00CF708D">
      <w:pPr>
        <w:pStyle w:val="BodyText"/>
      </w:pPr>
      <w:r>
        <w:t xml:space="preserve">Further, the density curves for PCR, PLS1 and PLS2 are similar for different levels of </w:t>
      </w:r>
      <w:r>
        <w:rPr>
          <w:rStyle w:val="VerbatimChar"/>
        </w:rPr>
        <w:t>eta</w:t>
      </w:r>
      <w:r>
        <w:t>, i.e., the factor controlling the correlation between responses. However the envelope models have shown to have distinct interaction between position of relevant components (</w:t>
      </w:r>
      <w:r>
        <w:rPr>
          <w:rStyle w:val="VerbatimChar"/>
        </w:rPr>
        <w:t>relpos</w:t>
      </w:r>
      <w:r>
        <w:t xml:space="preserve">) and </w:t>
      </w:r>
      <w:r>
        <w:rPr>
          <w:rStyle w:val="VerbatimChar"/>
        </w:rPr>
        <w:t>eta</w:t>
      </w:r>
      <w:r>
        <w:t xml:space="preserve">. Here higher levels of </w:t>
      </w:r>
      <w:r>
        <w:rPr>
          <w:rStyle w:val="VerbatimChar"/>
        </w:rPr>
        <w:t>eta</w:t>
      </w:r>
      <w:r>
        <w:t xml:space="preserve"> have given larger scores and clear separation between two level of </w:t>
      </w:r>
      <w:r>
        <w:rPr>
          <w:rStyle w:val="VerbatimChar"/>
        </w:rPr>
        <w:t>relpos</w:t>
      </w:r>
      <w:r>
        <w:t>.</w:t>
      </w:r>
    </w:p>
    <w:p w:rsidR="0096095D" w:rsidRDefault="00CF708D">
      <w:pPr>
        <w:pStyle w:val="BodyText"/>
      </w:pPr>
      <w:r>
        <w:t>In the case of high multicollinearity, envelope methods have resulted in some large outliers indicating that in some cases the methods can give unexpected prediction.</w:t>
      </w:r>
    </w:p>
    <w:p w:rsidR="0096095D" w:rsidRDefault="00CF708D">
      <w:pPr>
        <w:pStyle w:val="FigurewithCaption"/>
      </w:pPr>
      <w:r>
        <w:rPr>
          <w:noProof/>
        </w:rPr>
        <w:drawing>
          <wp:inline distT="0" distB="0" distL="0" distR="0">
            <wp:extent cx="5400000" cy="4320000"/>
            <wp:effectExtent l="0" t="0" r="0" b="0"/>
            <wp:docPr id="6" name="Picture" descr="Figure 6 Score density corresponding to first principal component of component dataset (\mathbf{v}) subdivided by methods, gamma and eta and grouped by rel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ain_files/figure-docx/comp-pca-hist-mthd-gamma-relpos-1.png"/>
                    <pic:cNvPicPr>
                      <a:picLocks noChangeAspect="1" noChangeArrowheads="1"/>
                    </pic:cNvPicPr>
                  </pic:nvPicPr>
                  <pic:blipFill>
                    <a:blip r:embed="rId13"/>
                    <a:stretch>
                      <a:fillRect/>
                    </a:stretch>
                  </pic:blipFill>
                  <pic:spPr bwMode="auto">
                    <a:xfrm>
                      <a:off x="0" y="0"/>
                      <a:ext cx="5400000" cy="4320000"/>
                    </a:xfrm>
                    <a:prstGeom prst="rect">
                      <a:avLst/>
                    </a:prstGeom>
                    <a:noFill/>
                    <a:ln w="9525">
                      <a:noFill/>
                      <a:headEnd/>
                      <a:tailEnd/>
                    </a:ln>
                  </pic:spPr>
                </pic:pic>
              </a:graphicData>
            </a:graphic>
          </wp:inline>
        </w:drawing>
      </w:r>
    </w:p>
    <w:p w:rsidR="0096095D" w:rsidRDefault="00CF708D">
      <w:pPr>
        <w:pStyle w:val="ImageCaption"/>
      </w:pPr>
      <w:r>
        <w:t>Figure 6 Score density corresponding to first principal component of component dataset (</w:t>
      </w:r>
      <m:oMath>
        <m:r>
          <m:rPr>
            <m:sty m:val="bi"/>
          </m:rPr>
          <w:rPr>
            <w:rFonts w:ascii="Cambria Math" w:hAnsi="Cambria Math"/>
          </w:rPr>
          <m:t>v</m:t>
        </m:r>
      </m:oMath>
      <w:r>
        <w:t xml:space="preserve">) subdivided by </w:t>
      </w:r>
      <w:r>
        <w:rPr>
          <w:rStyle w:val="VerbatimChar"/>
        </w:rPr>
        <w:t>methods</w:t>
      </w:r>
      <w:r>
        <w:t xml:space="preserve">, </w:t>
      </w:r>
      <w:r>
        <w:rPr>
          <w:rStyle w:val="VerbatimChar"/>
        </w:rPr>
        <w:t>gamma</w:t>
      </w:r>
      <w:r>
        <w:t xml:space="preserve"> and </w:t>
      </w:r>
      <w:r>
        <w:rPr>
          <w:rStyle w:val="VerbatimChar"/>
        </w:rPr>
        <w:t>eta</w:t>
      </w:r>
      <w:r>
        <w:t xml:space="preserve"> and grouped by </w:t>
      </w:r>
      <w:r>
        <w:rPr>
          <w:rStyle w:val="VerbatimChar"/>
        </w:rPr>
        <w:t>relpos</w:t>
      </w:r>
      <w:r>
        <w:t>.</w:t>
      </w:r>
    </w:p>
    <w:p w:rsidR="0096095D" w:rsidRDefault="00CF708D">
      <w:pPr>
        <w:pStyle w:val="BodyText"/>
      </w:pPr>
      <w:r>
        <w:lastRenderedPageBreak/>
        <w:t xml:space="preserve">In Figure 6, the higher scores suggest the methods have used larger number of components to give minimum prediction error. The plot also shows that the relevant predictor components at 5, 6, 7, 8 gives larger prediction error than those which are at the position 1, 2, 3, 4. The pattern is more distinct in large multicollinearity cases and PCR and PLS methods. Both the envelope methods have shown equally better performance at both levels of </w:t>
      </w:r>
      <w:r>
        <w:rPr>
          <w:rStyle w:val="VerbatimChar"/>
        </w:rPr>
        <w:t>relpos</w:t>
      </w:r>
      <w:r>
        <w:t xml:space="preserve"> and </w:t>
      </w:r>
      <w:r>
        <w:rPr>
          <w:rStyle w:val="VerbatimChar"/>
        </w:rPr>
        <w:t>gamma</w:t>
      </w:r>
      <w:r>
        <w:t>. However, for data with low multicollinearity (</w:t>
      </w:r>
      <m:oMath>
        <m:r>
          <w:rPr>
            <w:rFonts w:ascii="Cambria Math" w:hAnsi="Cambria Math"/>
          </w:rPr>
          <m:t>γ=0.2</m:t>
        </m:r>
      </m:oMath>
      <w:r>
        <w:t>), the envelope methods have used fewer number of components on average than in the high multicollinear cases to achieve minimum prediction error.</w:t>
      </w:r>
    </w:p>
    <w:p w:rsidR="0096095D" w:rsidRDefault="00CF708D">
      <w:pPr>
        <w:pStyle w:val="Heading1"/>
      </w:pPr>
      <w:bookmarkStart w:id="9" w:name="statistical-analysis"/>
      <w:bookmarkEnd w:id="9"/>
      <w:r>
        <w:t>Statistical Analysis</w:t>
      </w:r>
    </w:p>
    <w:p w:rsidR="0096095D" w:rsidRDefault="00CF708D">
      <w:pPr>
        <w:pStyle w:val="FirstParagraph"/>
      </w:pPr>
      <w:r>
        <w:t xml:space="preserve">This section has modelled the </w:t>
      </w:r>
      <w:r>
        <w:rPr>
          <w:i/>
        </w:rPr>
        <w:t>error data</w:t>
      </w:r>
      <w:r>
        <w:t xml:space="preserve"> and the </w:t>
      </w:r>
      <w:r>
        <w:rPr>
          <w:i/>
        </w:rPr>
        <w:t>component data</w:t>
      </w:r>
      <w:r>
        <w:t xml:space="preserve"> as a function of the simulation parameters to better understand the connection between data properties and prediction methods using multivariate analysis of variation (MANOVA).</w:t>
      </w:r>
    </w:p>
    <w:p w:rsidR="0096095D" w:rsidRDefault="00CF708D">
      <w:pPr>
        <w:pStyle w:val="BodyText"/>
      </w:pPr>
      <w:r>
        <w:t>Let us consider a model with third order interaction of the simulation parameters (</w:t>
      </w:r>
      <w:r>
        <w:rPr>
          <w:rStyle w:val="VerbatimChar"/>
        </w:rPr>
        <w:t>p</w:t>
      </w:r>
      <w:r>
        <w:t xml:space="preserve">, </w:t>
      </w:r>
      <w:r>
        <w:rPr>
          <w:rStyle w:val="VerbatimChar"/>
        </w:rPr>
        <w:t>gamma</w:t>
      </w:r>
      <w:r>
        <w:t xml:space="preserve">, </w:t>
      </w:r>
      <w:r>
        <w:rPr>
          <w:rStyle w:val="VerbatimChar"/>
        </w:rPr>
        <w:t>eta</w:t>
      </w:r>
      <w:r>
        <w:t xml:space="preserve"> and </w:t>
      </w:r>
      <w:r>
        <w:rPr>
          <w:rStyle w:val="VerbatimChar"/>
        </w:rPr>
        <w:t>relpos</w:t>
      </w:r>
      <w:r>
        <w:t xml:space="preserve">) and </w:t>
      </w:r>
      <w:r>
        <w:rPr>
          <w:rStyle w:val="VerbatimChar"/>
        </w:rPr>
        <w:t>Methods</w:t>
      </w:r>
      <w:r>
        <w:t xml:space="preserve"> as in (11) and (12) using datasets </w:t>
      </w:r>
      <m:oMath>
        <m:r>
          <m:rPr>
            <m:sty m:val="b"/>
          </m:rPr>
          <w:rPr>
            <w:rFonts w:ascii="Cambria Math" w:hAnsi="Cambria Math"/>
          </w:rPr>
          <m:t>u</m:t>
        </m:r>
      </m:oMath>
      <w:r>
        <w:t xml:space="preserve"> and </w:t>
      </w:r>
      <m:oMath>
        <m:r>
          <m:rPr>
            <m:sty m:val="b"/>
          </m:rPr>
          <w:rPr>
            <w:rFonts w:ascii="Cambria Math" w:hAnsi="Cambria Math"/>
          </w:rPr>
          <m:t>v</m:t>
        </m:r>
      </m:oMath>
      <w:r>
        <w:t xml:space="preserve">, respectively. Let us refer them as the </w:t>
      </w:r>
      <w:r>
        <w:rPr>
          <w:i/>
        </w:rPr>
        <w:t>error model</w:t>
      </w:r>
      <w:r>
        <w:t xml:space="preserve"> and the </w:t>
      </w:r>
      <w:r>
        <w:rPr>
          <w:i/>
        </w:rPr>
        <w:t>component model</w:t>
      </w:r>
      <w:r>
        <w:t>.</w:t>
      </w:r>
    </w:p>
    <w:p w:rsidR="0096095D" w:rsidRDefault="00CF708D">
      <w:pPr>
        <w:pStyle w:val="DefinitionTerm"/>
      </w:pPr>
      <w:r>
        <w:t>Error Model:</w:t>
      </w:r>
    </w:p>
    <w:p w:rsidR="0096095D" w:rsidRDefault="00CF708D">
      <w:pPr>
        <w:pStyle w:val="DefinitionTerm"/>
      </w:pPr>
      <w:r>
        <w:t>Component Model:</w:t>
      </w:r>
    </w:p>
    <w:p w:rsidR="0096095D" w:rsidRDefault="00CF708D">
      <w:pPr>
        <w:pStyle w:val="FirstParagraph"/>
      </w:pPr>
      <w:r>
        <w:t xml:space="preserve">where, </w:t>
      </w:r>
      <m:oMath>
        <m:sSub>
          <m:sSubPr>
            <m:ctrlPr>
              <w:rPr>
                <w:rFonts w:ascii="Cambria Math" w:hAnsi="Cambria Math"/>
              </w:rPr>
            </m:ctrlPr>
          </m:sSubPr>
          <m:e>
            <m:r>
              <m:rPr>
                <m:sty m:val="b"/>
              </m:rPr>
              <w:rPr>
                <w:rFonts w:ascii="Cambria Math" w:hAnsi="Cambria Math"/>
              </w:rPr>
              <m:t>u</m:t>
            </m:r>
          </m:e>
          <m:sub>
            <m:r>
              <w:rPr>
                <w:rFonts w:ascii="Cambria Math" w:hAnsi="Cambria Math"/>
              </w:rPr>
              <m:t>abcdef</m:t>
            </m:r>
          </m:sub>
        </m:sSub>
      </m:oMath>
      <w:r>
        <w:t xml:space="preserve"> is a vector of prediction errors in the </w:t>
      </w:r>
      <w:r>
        <w:rPr>
          <w:i/>
        </w:rPr>
        <w:t>error model</w:t>
      </w:r>
      <w:r>
        <w:t xml:space="preserve"> and </w:t>
      </w:r>
      <m:oMath>
        <m:sSub>
          <m:sSubPr>
            <m:ctrlPr>
              <w:rPr>
                <w:rFonts w:ascii="Cambria Math" w:hAnsi="Cambria Math"/>
              </w:rPr>
            </m:ctrlPr>
          </m:sSubPr>
          <m:e>
            <m:r>
              <m:rPr>
                <m:sty m:val="b"/>
              </m:rPr>
              <w:rPr>
                <w:rFonts w:ascii="Cambria Math" w:hAnsi="Cambria Math"/>
              </w:rPr>
              <m:t>v</m:t>
            </m:r>
          </m:e>
          <m:sub>
            <m:r>
              <w:rPr>
                <w:rFonts w:ascii="Cambria Math" w:hAnsi="Cambria Math"/>
              </w:rPr>
              <m:t>abcdef</m:t>
            </m:r>
          </m:sub>
        </m:sSub>
      </m:oMath>
      <w:r>
        <w:t xml:space="preserve"> is a vector of number of components used by a method to obtain minimum prediction error in the </w:t>
      </w:r>
      <w:r>
        <w:rPr>
          <w:i/>
        </w:rPr>
        <w:t>component model</w:t>
      </w:r>
      <w:r>
        <w:t>.</w:t>
      </w:r>
    </w:p>
    <w:p w:rsidR="0096095D" w:rsidRDefault="00CF708D">
      <w:pPr>
        <w:pStyle w:val="BodyText"/>
      </w:pPr>
      <w:r>
        <w:t xml:space="preserve">Although there are several test-statistic for MANOVA, for large samples all are essentially equivalent (Johnson and Wichern </w:t>
      </w:r>
      <w:hyperlink w:anchor="ref-johnson2018applied">
        <w:r>
          <w:rPr>
            <w:rStyle w:val="Hyperlink"/>
          </w:rPr>
          <w:t>2018</w:t>
        </w:r>
      </w:hyperlink>
      <w:r>
        <w:t>). Here we will use Pillai’s trace statistic which is defined as,</w:t>
      </w:r>
    </w:p>
    <w:p w:rsidR="0096095D" w:rsidRDefault="00CF708D">
      <w:pPr>
        <w:pStyle w:val="BodyText"/>
      </w:pPr>
      <m:oMathPara>
        <m:oMathParaPr>
          <m:jc m:val="center"/>
        </m:oMathParaPr>
        <m:oMath>
          <m:r>
            <m:rPr>
              <m:sty m:val="p"/>
            </m:rPr>
            <w:rPr>
              <w:rFonts w:ascii="Cambria Math" w:hAnsi="Cambria Math"/>
            </w:rPr>
            <m:t>Pillai statistic</m:t>
          </m:r>
          <m:r>
            <w:rPr>
              <w:rFonts w:ascii="Cambria Math" w:hAnsi="Cambria Math"/>
            </w:rPr>
            <m:t>=</m:t>
          </m:r>
          <m:r>
            <m:rPr>
              <m:sty m:val="p"/>
            </m:rPr>
            <w:rPr>
              <w:rFonts w:ascii="Cambria Math" w:hAnsi="Cambria Math"/>
            </w:rPr>
            <m:t>tr</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r>
                        <m:rPr>
                          <m:sty m:val="b"/>
                        </m:rPr>
                        <w:rPr>
                          <w:rFonts w:ascii="Cambria Math" w:hAnsi="Cambria Math"/>
                        </w:rPr>
                        <m:t>E</m:t>
                      </m:r>
                      <m:r>
                        <w:rPr>
                          <w:rFonts w:ascii="Cambria Math" w:hAnsi="Cambria Math"/>
                        </w:rPr>
                        <m:t>+</m:t>
                      </m:r>
                      <m:r>
                        <m:rPr>
                          <m:sty m:val="b"/>
                        </m:rPr>
                        <w:rPr>
                          <w:rFonts w:ascii="Cambria Math" w:hAnsi="Cambria Math"/>
                        </w:rPr>
                        <m:t>H</m:t>
                      </m:r>
                    </m:e>
                  </m:d>
                </m:e>
                <m:sup>
                  <m:r>
                    <w:rPr>
                      <w:rFonts w:ascii="Cambria Math" w:hAnsi="Cambria Math"/>
                    </w:rPr>
                    <m:t>-1</m:t>
                  </m:r>
                </m:sup>
              </m:sSup>
              <m:r>
                <m:rPr>
                  <m:sty m:val="b"/>
                </m:rPr>
                <w:rPr>
                  <w:rFonts w:ascii="Cambria Math" w:hAnsi="Cambria Math"/>
                </w:rPr>
                <m:t>H</m:t>
              </m:r>
            </m:e>
          </m:d>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ν</m:t>
                      </m:r>
                    </m:e>
                    <m:sub>
                      <m:r>
                        <w:rPr>
                          <w:rFonts w:ascii="Cambria Math" w:hAnsi="Cambria Math"/>
                        </w:rPr>
                        <m:t>i</m:t>
                      </m:r>
                    </m:sub>
                  </m:sSub>
                </m:num>
                <m:den>
                  <m:r>
                    <w:rPr>
                      <w:rFonts w:ascii="Cambria Math" w:hAnsi="Cambria Math"/>
                    </w:rPr>
                    <m:t>1+</m:t>
                  </m:r>
                  <m:sSub>
                    <m:sSubPr>
                      <m:ctrlPr>
                        <w:rPr>
                          <w:rFonts w:ascii="Cambria Math" w:hAnsi="Cambria Math"/>
                        </w:rPr>
                      </m:ctrlPr>
                    </m:sSubPr>
                    <m:e>
                      <m:r>
                        <w:rPr>
                          <w:rFonts w:ascii="Cambria Math" w:hAnsi="Cambria Math"/>
                        </w:rPr>
                        <m:t>ν</m:t>
                      </m:r>
                    </m:e>
                    <m:sub>
                      <m:r>
                        <w:rPr>
                          <w:rFonts w:ascii="Cambria Math" w:hAnsi="Cambria Math"/>
                        </w:rPr>
                        <m:t>i</m:t>
                      </m:r>
                    </m:sub>
                  </m:sSub>
                </m:den>
              </m:f>
            </m:e>
          </m:nary>
          <m:r>
            <w:rPr>
              <w:rFonts w:ascii="Cambria Math" w:hAnsi="Cambria Math"/>
            </w:rPr>
            <m:t>  (13)</m:t>
          </m:r>
        </m:oMath>
      </m:oMathPara>
    </w:p>
    <w:p w:rsidR="0096095D" w:rsidRDefault="00CF708D">
      <w:pPr>
        <w:pStyle w:val="FirstParagraph"/>
      </w:pPr>
      <w:r>
        <w:t xml:space="preserve">Here the matrix </w:t>
      </w:r>
      <m:oMath>
        <m:r>
          <m:rPr>
            <m:sty m:val="b"/>
          </m:rPr>
          <w:rPr>
            <w:rFonts w:ascii="Cambria Math" w:hAnsi="Cambria Math"/>
          </w:rPr>
          <m:t>H</m:t>
        </m:r>
      </m:oMath>
      <w:r>
        <w:t xml:space="preserve"> holds between-sum-of-squares and sum-of-products for each of the predictors. The matrix </w:t>
      </w:r>
      <m:oMath>
        <m:r>
          <m:rPr>
            <m:sty m:val="b"/>
          </m:rPr>
          <w:rPr>
            <w:rFonts w:ascii="Cambria Math" w:hAnsi="Cambria Math"/>
          </w:rPr>
          <m:t>E</m:t>
        </m:r>
      </m:oMath>
      <w:r>
        <w:t xml:space="preserve"> has a within sum of squares and sum of products for each of the predictors. </w:t>
      </w:r>
      <m:oMath>
        <m:sSub>
          <m:sSubPr>
            <m:ctrlPr>
              <w:rPr>
                <w:rFonts w:ascii="Cambria Math" w:hAnsi="Cambria Math"/>
              </w:rPr>
            </m:ctrlPr>
          </m:sSubPr>
          <m:e>
            <m:r>
              <w:rPr>
                <w:rFonts w:ascii="Cambria Math" w:hAnsi="Cambria Math"/>
              </w:rPr>
              <m:t>ν</m:t>
            </m:r>
          </m:e>
          <m:sub>
            <m:r>
              <w:rPr>
                <w:rFonts w:ascii="Cambria Math" w:hAnsi="Cambria Math"/>
              </w:rPr>
              <m:t>i</m:t>
            </m:r>
          </m:sub>
        </m:sSub>
      </m:oMath>
      <w:r>
        <w:t xml:space="preserve"> represents the eigenvalues corresponding to </w:t>
      </w:r>
      <m:oMath>
        <m:sSup>
          <m:sSupPr>
            <m:ctrlPr>
              <w:rPr>
                <w:rFonts w:ascii="Cambria Math" w:hAnsi="Cambria Math"/>
              </w:rPr>
            </m:ctrlPr>
          </m:sSupPr>
          <m:e>
            <m:r>
              <m:rPr>
                <m:sty m:val="b"/>
              </m:rPr>
              <w:rPr>
                <w:rFonts w:ascii="Cambria Math" w:hAnsi="Cambria Math"/>
              </w:rPr>
              <m:t>E</m:t>
            </m:r>
          </m:e>
          <m:sup>
            <m:r>
              <w:rPr>
                <w:rFonts w:ascii="Cambria Math" w:hAnsi="Cambria Math"/>
              </w:rPr>
              <m:t>-1</m:t>
            </m:r>
          </m:sup>
        </m:sSup>
        <m:r>
          <m:rPr>
            <m:sty m:val="b"/>
          </m:rPr>
          <w:rPr>
            <w:rFonts w:ascii="Cambria Math" w:hAnsi="Cambria Math"/>
          </w:rPr>
          <m:t>H</m:t>
        </m:r>
      </m:oMath>
      <w:r>
        <w:t xml:space="preserve"> (Rencher </w:t>
      </w:r>
      <w:hyperlink w:anchor="ref-rencher2003methods">
        <w:r>
          <w:rPr>
            <w:rStyle w:val="Hyperlink"/>
          </w:rPr>
          <w:t>2003</w:t>
        </w:r>
      </w:hyperlink>
      <w:r>
        <w:t>).</w:t>
      </w:r>
    </w:p>
    <w:p w:rsidR="0096095D" w:rsidRDefault="00CF708D">
      <w:pPr>
        <w:pStyle w:val="BodyText"/>
      </w:pPr>
      <w:r>
        <w:lastRenderedPageBreak/>
        <w:t>For both the models (11) and (12), Pillai’s trace statistic is used for accessing the effect of each factor and returns an F-value for the strength of their significance. Figure 7 plots the Pillai’s trace statistics as bars with corresponding F-values as text labels for both models.</w:t>
      </w:r>
    </w:p>
    <w:p w:rsidR="0096095D" w:rsidRDefault="00CF708D">
      <w:pPr>
        <w:pStyle w:val="FigurewithCaption"/>
      </w:pPr>
      <w:r>
        <w:rPr>
          <w:noProof/>
        </w:rPr>
        <w:drawing>
          <wp:inline distT="0" distB="0" distL="0" distR="0">
            <wp:extent cx="5334000" cy="4264421"/>
            <wp:effectExtent l="0" t="0" r="0" b="0"/>
            <wp:docPr id="7" name="Picture" descr="Figure 7 Pillai Statistic and F-value for the MANOVA model. The bar represents the Pillai Statistic and the text labels are F-value for corresponding factor."/>
            <wp:cNvGraphicFramePr/>
            <a:graphic xmlns:a="http://schemas.openxmlformats.org/drawingml/2006/main">
              <a:graphicData uri="http://schemas.openxmlformats.org/drawingml/2006/picture">
                <pic:pic xmlns:pic="http://schemas.openxmlformats.org/drawingml/2006/picture">
                  <pic:nvPicPr>
                    <pic:cNvPr id="0" name="Picture" descr="main_files/figure-docx/manova-plot-1.png"/>
                    <pic:cNvPicPr>
                      <a:picLocks noChangeAspect="1" noChangeArrowheads="1"/>
                    </pic:cNvPicPr>
                  </pic:nvPicPr>
                  <pic:blipFill>
                    <a:blip r:embed="rId14"/>
                    <a:stretch>
                      <a:fillRect/>
                    </a:stretch>
                  </pic:blipFill>
                  <pic:spPr bwMode="auto">
                    <a:xfrm>
                      <a:off x="0" y="0"/>
                      <a:ext cx="5334000" cy="4264421"/>
                    </a:xfrm>
                    <a:prstGeom prst="rect">
                      <a:avLst/>
                    </a:prstGeom>
                    <a:noFill/>
                    <a:ln w="9525">
                      <a:noFill/>
                      <a:headEnd/>
                      <a:tailEnd/>
                    </a:ln>
                  </pic:spPr>
                </pic:pic>
              </a:graphicData>
            </a:graphic>
          </wp:inline>
        </w:drawing>
      </w:r>
    </w:p>
    <w:p w:rsidR="0096095D" w:rsidRDefault="00CF708D">
      <w:pPr>
        <w:pStyle w:val="ImageCaption"/>
      </w:pPr>
      <w:r>
        <w:t>Figure 7 Pillai Statistic and F-value for the MANOVA model. The bar represents the Pillai Statistic and the text labels are F-value for corresponding factor.</w:t>
      </w:r>
    </w:p>
    <w:p w:rsidR="0096095D" w:rsidRDefault="00CF708D">
      <w:pPr>
        <w:pStyle w:val="DefinitionTerm"/>
      </w:pPr>
      <w:r>
        <w:t>Error Model:</w:t>
      </w:r>
    </w:p>
    <w:p w:rsidR="0096095D" w:rsidRDefault="00CF708D">
      <w:pPr>
        <w:pStyle w:val="Definition"/>
      </w:pPr>
      <w:r>
        <w:t xml:space="preserve">Figure 7 (left) shows the Pillai’s trace statistic for factors of the </w:t>
      </w:r>
      <w:r>
        <w:rPr>
          <w:i/>
        </w:rPr>
        <w:t>error model</w:t>
      </w:r>
      <w:r>
        <w:t xml:space="preserve">. The main effect of </w:t>
      </w:r>
      <w:r>
        <w:rPr>
          <w:rStyle w:val="VerbatimChar"/>
        </w:rPr>
        <w:t>Method</w:t>
      </w:r>
      <w:r>
        <w:t xml:space="preserve"> followed by </w:t>
      </w:r>
      <w:r>
        <w:rPr>
          <w:rStyle w:val="VerbatimChar"/>
        </w:rPr>
        <w:t>relpos</w:t>
      </w:r>
      <w:r>
        <w:t xml:space="preserve">, </w:t>
      </w:r>
      <w:r>
        <w:rPr>
          <w:rStyle w:val="VerbatimChar"/>
        </w:rPr>
        <w:t>eta</w:t>
      </w:r>
      <w:r>
        <w:t xml:space="preserve"> and </w:t>
      </w:r>
      <w:r>
        <w:rPr>
          <w:rStyle w:val="VerbatimChar"/>
        </w:rPr>
        <w:t>gamma</w:t>
      </w:r>
      <w:r>
        <w:t xml:space="preserve"> have largest influence on the model . A highly significant two factor interaction of </w:t>
      </w:r>
      <w:r>
        <w:rPr>
          <w:rStyle w:val="VerbatimChar"/>
        </w:rPr>
        <w:t>Method</w:t>
      </w:r>
      <w:r>
        <w:t xml:space="preserve"> with </w:t>
      </w:r>
      <w:r>
        <w:rPr>
          <w:rStyle w:val="VerbatimChar"/>
        </w:rPr>
        <w:t>eta</w:t>
      </w:r>
      <w:r>
        <w:t xml:space="preserve"> followed by </w:t>
      </w:r>
      <w:r>
        <w:rPr>
          <w:rStyle w:val="VerbatimChar"/>
        </w:rPr>
        <w:t>relpos</w:t>
      </w:r>
      <w:r>
        <w:t xml:space="preserve"> and </w:t>
      </w:r>
      <w:r>
        <w:rPr>
          <w:rStyle w:val="VerbatimChar"/>
        </w:rPr>
        <w:t>gamma</w:t>
      </w:r>
      <w:r>
        <w:t xml:space="preserve"> clearly shows that methods perform differently for different levels of these data properties. The significant third order interaction between </w:t>
      </w:r>
      <w:r>
        <w:rPr>
          <w:rStyle w:val="VerbatimChar"/>
        </w:rPr>
        <w:t>Method</w:t>
      </w:r>
      <w:r>
        <w:t xml:space="preserve">, </w:t>
      </w:r>
      <w:r>
        <w:rPr>
          <w:rStyle w:val="VerbatimChar"/>
        </w:rPr>
        <w:t>eta</w:t>
      </w:r>
      <w:r>
        <w:t xml:space="preserve"> and </w:t>
      </w:r>
      <w:r>
        <w:rPr>
          <w:rStyle w:val="VerbatimChar"/>
        </w:rPr>
        <w:t>gamma</w:t>
      </w:r>
      <w:r>
        <w:t xml:space="preserve"> suggests that the performance of a method differs for a given level of multicollinearity and the correlation between the responses. Since, only some methods consider modelling predictor and response together, the prediction is affected by the level of correlation between the responses (</w:t>
      </w:r>
      <w:r>
        <w:rPr>
          <w:rStyle w:val="VerbatimChar"/>
        </w:rPr>
        <w:t>eta</w:t>
      </w:r>
      <w:r>
        <w:t>) for a given method.</w:t>
      </w:r>
    </w:p>
    <w:p w:rsidR="0096095D" w:rsidRDefault="00CF708D">
      <w:pPr>
        <w:pStyle w:val="DefinitionTerm"/>
      </w:pPr>
      <w:r>
        <w:lastRenderedPageBreak/>
        <w:t>Component Model:</w:t>
      </w:r>
    </w:p>
    <w:p w:rsidR="0096095D" w:rsidRDefault="00CF708D">
      <w:pPr>
        <w:pStyle w:val="Definition"/>
      </w:pPr>
      <w:r>
        <w:t xml:space="preserve">Figure 7 (right) shows the Pillai’s trace statistic for factors of the </w:t>
      </w:r>
      <w:r>
        <w:rPr>
          <w:i/>
        </w:rPr>
        <w:t>component model</w:t>
      </w:r>
      <w:r>
        <w:t xml:space="preserve">. As in the </w:t>
      </w:r>
      <w:r>
        <w:rPr>
          <w:i/>
        </w:rPr>
        <w:t>error model</w:t>
      </w:r>
      <w:r>
        <w:t xml:space="preserve">, the main effects of the Method, </w:t>
      </w:r>
      <w:r>
        <w:rPr>
          <w:rStyle w:val="VerbatimChar"/>
        </w:rPr>
        <w:t>relpos</w:t>
      </w:r>
      <w:r>
        <w:t xml:space="preserve">, </w:t>
      </w:r>
      <w:r>
        <w:rPr>
          <w:rStyle w:val="VerbatimChar"/>
        </w:rPr>
        <w:t>gamma</w:t>
      </w:r>
      <w:r>
        <w:t xml:space="preserve"> and </w:t>
      </w:r>
      <w:r>
        <w:rPr>
          <w:rStyle w:val="VerbatimChar"/>
        </w:rPr>
        <w:t>eta</w:t>
      </w:r>
      <w:r>
        <w:t xml:space="preserve"> have significantly large effect on the number of components that a method has used to obtain minimum prediction error. The two factor interactions of </w:t>
      </w:r>
      <w:r>
        <w:rPr>
          <w:rStyle w:val="VerbatimChar"/>
        </w:rPr>
        <w:t>Method</w:t>
      </w:r>
      <w:r>
        <w:t xml:space="preserve"> with simulation parameters are larger in this case. This shows that the Methods and these interactions have larger effect on the use of number of component than the prediction error itself. In addition, a similar significant high third order interaction as in </w:t>
      </w:r>
      <w:r>
        <w:rPr>
          <w:i/>
        </w:rPr>
        <w:t>error model</w:t>
      </w:r>
      <w:r>
        <w:t xml:space="preserve"> is also observed in this model.</w:t>
      </w:r>
    </w:p>
    <w:p w:rsidR="0096095D" w:rsidRDefault="00CF708D">
      <w:pPr>
        <w:pStyle w:val="FirstParagraph"/>
      </w:pPr>
      <w:r>
        <w:t>The following section will continue exploring the effects of different levels of the factors in the case of these interactions.</w:t>
      </w:r>
    </w:p>
    <w:p w:rsidR="0096095D" w:rsidRDefault="00CF708D">
      <w:pPr>
        <w:pStyle w:val="Heading2"/>
      </w:pPr>
      <w:bookmarkStart w:id="10" w:name="effect-analysis-of-error-model"/>
      <w:bookmarkEnd w:id="10"/>
      <w:r>
        <w:t>Effect Analysis of Error Model</w:t>
      </w:r>
    </w:p>
    <w:p w:rsidR="0096095D" w:rsidRDefault="00CF708D">
      <w:pPr>
        <w:pStyle w:val="FirstParagraph"/>
      </w:pPr>
      <w:r>
        <w:t xml:space="preserve">The large difference in the prediction error for the envelope models in Figure 8 (left) are intensified when position of relevant predictor are at 5, 6, 7, 8. The results also show that the envelope methods are more sensible to the levels of </w:t>
      </w:r>
      <w:r>
        <w:rPr>
          <w:rStyle w:val="VerbatimChar"/>
        </w:rPr>
        <w:t>eta</w:t>
      </w:r>
      <w:r>
        <w:t xml:space="preserve"> than the rest of the methods. In the case of PCR and PLS, the difference in the effect of levels of </w:t>
      </w:r>
      <w:r>
        <w:rPr>
          <w:rStyle w:val="VerbatimChar"/>
        </w:rPr>
        <w:t>eta</w:t>
      </w:r>
      <w:r>
        <w:t xml:space="preserve"> is small.</w:t>
      </w:r>
    </w:p>
    <w:p w:rsidR="0096095D" w:rsidRDefault="00CF708D">
      <w:pPr>
        <w:pStyle w:val="BodyText"/>
      </w:pPr>
      <w:r>
        <w:t xml:space="preserve">In Figure 8 (right), we can see that the multicollinearity (controlled by </w:t>
      </w:r>
      <w:r>
        <w:rPr>
          <w:rStyle w:val="VerbatimChar"/>
        </w:rPr>
        <w:t>gamma</w:t>
      </w:r>
      <w:r>
        <w:t>) has affected all the methods. However, envelope methods have better performance on low multicollinearity than high and PCR, PLS1 and PLS2 are robust for high multicollinearity. Despite handling high multicollinearity, these methods have higher prediction error in both cases of multicollinearity than the envelope methods.</w:t>
      </w:r>
    </w:p>
    <w:p w:rsidR="0096095D" w:rsidRDefault="00CF708D">
      <w:pPr>
        <w:pStyle w:val="FigurewithCaption"/>
      </w:pPr>
      <w:r>
        <w:rPr>
          <w:noProof/>
        </w:rPr>
        <w:lastRenderedPageBreak/>
        <w:drawing>
          <wp:inline distT="0" distB="0" distL="0" distR="0">
            <wp:extent cx="5334000" cy="3198812"/>
            <wp:effectExtent l="0" t="0" r="0" b="0"/>
            <wp:docPr id="8" name="Picture" descr="Figure 8 Effect plot of some interactions of the multivariate linear model of prediction error"/>
            <wp:cNvGraphicFramePr/>
            <a:graphic xmlns:a="http://schemas.openxmlformats.org/drawingml/2006/main">
              <a:graphicData uri="http://schemas.openxmlformats.org/drawingml/2006/picture">
                <pic:pic xmlns:pic="http://schemas.openxmlformats.org/drawingml/2006/picture">
                  <pic:nvPicPr>
                    <pic:cNvPr id="0" name="Picture" descr="main_files/figure-docx/pred-eff-plots-1.png"/>
                    <pic:cNvPicPr>
                      <a:picLocks noChangeAspect="1" noChangeArrowheads="1"/>
                    </pic:cNvPicPr>
                  </pic:nvPicPr>
                  <pic:blipFill>
                    <a:blip r:embed="rId15"/>
                    <a:stretch>
                      <a:fillRect/>
                    </a:stretch>
                  </pic:blipFill>
                  <pic:spPr bwMode="auto">
                    <a:xfrm>
                      <a:off x="0" y="0"/>
                      <a:ext cx="5334000" cy="3198812"/>
                    </a:xfrm>
                    <a:prstGeom prst="rect">
                      <a:avLst/>
                    </a:prstGeom>
                    <a:noFill/>
                    <a:ln w="9525">
                      <a:noFill/>
                      <a:headEnd/>
                      <a:tailEnd/>
                    </a:ln>
                  </pic:spPr>
                </pic:pic>
              </a:graphicData>
            </a:graphic>
          </wp:inline>
        </w:drawing>
      </w:r>
    </w:p>
    <w:p w:rsidR="0096095D" w:rsidRDefault="00CF708D">
      <w:pPr>
        <w:pStyle w:val="ImageCaption"/>
      </w:pPr>
      <w:r>
        <w:t>Figure 8 Effect plot of some interactions of the multivariate linear model of prediction error</w:t>
      </w:r>
    </w:p>
    <w:p w:rsidR="0096095D" w:rsidRDefault="00CF708D">
      <w:pPr>
        <w:pStyle w:val="Heading2"/>
      </w:pPr>
      <w:bookmarkStart w:id="11" w:name="effect-analysis-of-component-model"/>
      <w:bookmarkEnd w:id="11"/>
      <w:r>
        <w:t>Effect Analysis of Component Model</w:t>
      </w:r>
    </w:p>
    <w:p w:rsidR="0096095D" w:rsidRDefault="00CF708D">
      <w:pPr>
        <w:pStyle w:val="FigurewithCaption"/>
      </w:pPr>
      <w:r>
        <w:rPr>
          <w:noProof/>
        </w:rPr>
        <w:drawing>
          <wp:inline distT="0" distB="0" distL="0" distR="0">
            <wp:extent cx="5334000" cy="3198812"/>
            <wp:effectExtent l="0" t="0" r="0" b="0"/>
            <wp:docPr id="9" name="Picture" descr="Figure 9 Effect plot of some interactions of the multivariate linear model of number of components to get minimum prediction error"/>
            <wp:cNvGraphicFramePr/>
            <a:graphic xmlns:a="http://schemas.openxmlformats.org/drawingml/2006/main">
              <a:graphicData uri="http://schemas.openxmlformats.org/drawingml/2006/picture">
                <pic:pic xmlns:pic="http://schemas.openxmlformats.org/drawingml/2006/picture">
                  <pic:nvPicPr>
                    <pic:cNvPr id="0" name="Picture" descr="main_files/figure-docx/comp-eff-plots-1.png"/>
                    <pic:cNvPicPr>
                      <a:picLocks noChangeAspect="1" noChangeArrowheads="1"/>
                    </pic:cNvPicPr>
                  </pic:nvPicPr>
                  <pic:blipFill>
                    <a:blip r:embed="rId16"/>
                    <a:stretch>
                      <a:fillRect/>
                    </a:stretch>
                  </pic:blipFill>
                  <pic:spPr bwMode="auto">
                    <a:xfrm>
                      <a:off x="0" y="0"/>
                      <a:ext cx="5334000" cy="3198812"/>
                    </a:xfrm>
                    <a:prstGeom prst="rect">
                      <a:avLst/>
                    </a:prstGeom>
                    <a:noFill/>
                    <a:ln w="9525">
                      <a:noFill/>
                      <a:headEnd/>
                      <a:tailEnd/>
                    </a:ln>
                  </pic:spPr>
                </pic:pic>
              </a:graphicData>
            </a:graphic>
          </wp:inline>
        </w:drawing>
      </w:r>
    </w:p>
    <w:p w:rsidR="0096095D" w:rsidRDefault="00CF708D">
      <w:pPr>
        <w:pStyle w:val="ImageCaption"/>
      </w:pPr>
      <w:r>
        <w:t>Figure 9 Effect plot of some interactions of the multivariate linear model of number of components to get minimum prediction error</w:t>
      </w:r>
    </w:p>
    <w:p w:rsidR="0096095D" w:rsidRDefault="00CF708D">
      <w:pPr>
        <w:pStyle w:val="BodyText"/>
      </w:pPr>
      <w:r>
        <w:t xml:space="preserve">Unlike for prediction errors, Figure 9 (left) shows that the number of components used by the methods to obtain minium prediction error is less affected by the levels of </w:t>
      </w:r>
      <w:r>
        <w:rPr>
          <w:rStyle w:val="VerbatimChar"/>
        </w:rPr>
        <w:t>eta</w:t>
      </w:r>
      <w:r>
        <w:t xml:space="preserve">. All methods appear to use on average more components when eta increases. Envelope methods are able to </w:t>
      </w:r>
      <w:r>
        <w:lastRenderedPageBreak/>
        <w:t xml:space="preserve">obtain minimum prediction error by using components ranging from 1 to 3 in both the cases of </w:t>
      </w:r>
      <w:r>
        <w:rPr>
          <w:rStyle w:val="VerbatimChar"/>
        </w:rPr>
        <w:t>relpos</w:t>
      </w:r>
      <w:r>
        <w:t>. This value is much higher in the case of PCR as its prediction is based only on the principal components of the predictor matrix. The number of components used by this method ranges from 3 to 5 when relevant components are at positions 1, 2, 3, 4 and 5 to 8 when relevant components are at positions 5, 6, 7, 8.</w:t>
      </w:r>
    </w:p>
    <w:p w:rsidR="0096095D" w:rsidRDefault="00CF708D">
      <w:pPr>
        <w:pStyle w:val="BodyText"/>
      </w:pPr>
      <w:r>
        <w:t xml:space="preserve">When relevant components are at position 5, 6, 7, 8, the eigenvalues of relevant predictors becomes smaller and responses are relatively difficult to predict. This becomes more critical for high multicollinearity case. Figure 9 (right) shows that the envelope methods are less influenced by the level of </w:t>
      </w:r>
      <w:r>
        <w:rPr>
          <w:rStyle w:val="VerbatimChar"/>
        </w:rPr>
        <w:t>relpos</w:t>
      </w:r>
      <w:r>
        <w:t xml:space="preserve"> and are particularly better in achieving minimum prediction error using fewer number of components than other methods.</w:t>
      </w:r>
    </w:p>
    <w:p w:rsidR="0096095D" w:rsidRDefault="00CF708D">
      <w:pPr>
        <w:pStyle w:val="Heading1"/>
      </w:pPr>
      <w:bookmarkStart w:id="12" w:name="examples"/>
      <w:bookmarkEnd w:id="12"/>
      <w:r>
        <w:t>Examples</w:t>
      </w:r>
    </w:p>
    <w:p w:rsidR="0096095D" w:rsidRDefault="00CF708D">
      <w:pPr>
        <w:pStyle w:val="FirstParagraph"/>
      </w:pPr>
      <w:r>
        <w:t>In addition to the analysis with the simulated data, the following two examples explore the prediction performance of the methods using real datasets. Since both examples have wide predictor matrices, principal components explaining 97.5% of the variation in them are used for envelope methods. The coefficients were transformed back after the estimation.</w:t>
      </w:r>
    </w:p>
    <w:p w:rsidR="0096095D" w:rsidRDefault="00CF708D">
      <w:pPr>
        <w:pStyle w:val="Heading2"/>
      </w:pPr>
      <w:bookmarkStart w:id="13" w:name="raman-spectra-analysis-of-contents-of-po"/>
      <w:bookmarkEnd w:id="13"/>
      <w:r>
        <w:t>Raman spectra analysis of contents of polyunsaturated fatty acids (PUFA)</w:t>
      </w:r>
    </w:p>
    <w:p w:rsidR="0096095D" w:rsidRDefault="00CF708D">
      <w:pPr>
        <w:pStyle w:val="FirstParagraph"/>
      </w:pPr>
      <w:r>
        <w:t>This dataset contains 44 training samples and 25 test samples of fatty acid information expressed as: a) percentage of total sample weight and b) percentage of total fat content. The dataset is borrowed from Næs et al. (</w:t>
      </w:r>
      <w:hyperlink w:anchor="ref-naes2013multi">
        <w:r>
          <w:rPr>
            <w:rStyle w:val="Hyperlink"/>
          </w:rPr>
          <w:t>2013</w:t>
        </w:r>
      </w:hyperlink>
      <w:r>
        <w:t>) where more information can be found. The samples were analysed using Raman spectroscopy from which 1096 wavelength variables were obtained as predictors. Raman spectroscopy provides detailed chemical information from minor components in food. The aim of this example is to compare how well the prediction methods that we have considered are able to predict the contents of PUFA using these Raman spectra.</w:t>
      </w:r>
    </w:p>
    <w:p w:rsidR="0096095D" w:rsidRDefault="00CF708D">
      <w:pPr>
        <w:pStyle w:val="FigurewithCaption"/>
      </w:pPr>
      <w:r>
        <w:rPr>
          <w:noProof/>
        </w:rPr>
        <w:lastRenderedPageBreak/>
        <w:drawing>
          <wp:inline distT="0" distB="0" distL="0" distR="0">
            <wp:extent cx="5334000" cy="2132210"/>
            <wp:effectExtent l="0" t="0" r="0" b="0"/>
            <wp:docPr id="10" name="Picture" descr="Figure 10 (Left) Bar represents the eigenvalues corresponding to Raman Spectra. The points and line are the covariance between response and the principal components of Raman Spectra. All the values are normalized to scale from 0 to 1. (Middle) Cumulative sum of eigenvalues corresponding to predictors. (Right) Cumulative sum of eigenvalues corresponding to responses. The top and bottom row corresponds to test and training datasets respectively."/>
            <wp:cNvGraphicFramePr/>
            <a:graphic xmlns:a="http://schemas.openxmlformats.org/drawingml/2006/main">
              <a:graphicData uri="http://schemas.openxmlformats.org/drawingml/2006/picture">
                <pic:pic xmlns:pic="http://schemas.openxmlformats.org/drawingml/2006/picture">
                  <pic:nvPicPr>
                    <pic:cNvPr id="0" name="Picture" descr="main_files/figure-docx/ex1-cumulative-eigevalues-1.png"/>
                    <pic:cNvPicPr>
                      <a:picLocks noChangeAspect="1" noChangeArrowheads="1"/>
                    </pic:cNvPicPr>
                  </pic:nvPicPr>
                  <pic:blipFill>
                    <a:blip r:embed="rId17"/>
                    <a:stretch>
                      <a:fillRect/>
                    </a:stretch>
                  </pic:blipFill>
                  <pic:spPr bwMode="auto">
                    <a:xfrm>
                      <a:off x="0" y="0"/>
                      <a:ext cx="5334000" cy="2132210"/>
                    </a:xfrm>
                    <a:prstGeom prst="rect">
                      <a:avLst/>
                    </a:prstGeom>
                    <a:noFill/>
                    <a:ln w="9525">
                      <a:noFill/>
                      <a:headEnd/>
                      <a:tailEnd/>
                    </a:ln>
                  </pic:spPr>
                </pic:pic>
              </a:graphicData>
            </a:graphic>
          </wp:inline>
        </w:drawing>
      </w:r>
    </w:p>
    <w:p w:rsidR="0096095D" w:rsidRDefault="00CF708D">
      <w:pPr>
        <w:pStyle w:val="ImageCaption"/>
      </w:pPr>
      <w:r>
        <w:t>Figure 10 (Left) Bar represents the eigenvalues corresponding to Raman Spectra. The points and line are the covariance between response and the principal components of Raman Spectra. All the values are normalized to scale from 0 to 1. (Middle) Cumulative sum of eigenvalues corresponding to predictors. (Right) Cumulative sum of eigenvalues corresponding to responses. The top and bottom row corresponds to test and training datasets respectively.</w:t>
      </w:r>
    </w:p>
    <w:p w:rsidR="0096095D" w:rsidRDefault="00CF708D">
      <w:pPr>
        <w:pStyle w:val="BodyText"/>
      </w:pPr>
      <w:r>
        <w:t>Figure 10 (left) shows that the first few predictor components are somewhat correlated with response variables. In addition the most variation in predictors are explained by less than five components (middle). Further, the response variables are highly correlated suggesting that a single latent dimension explains most of the variation (right). We may therefore also believe that the relevant latent space in the response matrix is of dimension one. This resembles the design 19 (Figure 2) from our simulation.</w:t>
      </w:r>
    </w:p>
    <w:p w:rsidR="0096095D" w:rsidRDefault="00CF708D">
      <w:pPr>
        <w:pStyle w:val="FigurewithCaption"/>
      </w:pPr>
      <w:r>
        <w:rPr>
          <w:noProof/>
        </w:rPr>
        <w:drawing>
          <wp:inline distT="0" distB="0" distL="0" distR="0">
            <wp:extent cx="4800001" cy="2880000"/>
            <wp:effectExtent l="0" t="0" r="0" b="0"/>
            <wp:docPr id="11" name="Picture" descr="Figure 11 Prediction Error of different prediction methods using different number of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ain_files/figure-docx/ex1-prediction-error-1.png"/>
                    <pic:cNvPicPr>
                      <a:picLocks noChangeAspect="1" noChangeArrowheads="1"/>
                    </pic:cNvPicPr>
                  </pic:nvPicPr>
                  <pic:blipFill>
                    <a:blip r:embed="rId18"/>
                    <a:stretch>
                      <a:fillRect/>
                    </a:stretch>
                  </pic:blipFill>
                  <pic:spPr bwMode="auto">
                    <a:xfrm>
                      <a:off x="0" y="0"/>
                      <a:ext cx="4800001" cy="2880000"/>
                    </a:xfrm>
                    <a:prstGeom prst="rect">
                      <a:avLst/>
                    </a:prstGeom>
                    <a:noFill/>
                    <a:ln w="9525">
                      <a:noFill/>
                      <a:headEnd/>
                      <a:tailEnd/>
                    </a:ln>
                  </pic:spPr>
                </pic:pic>
              </a:graphicData>
            </a:graphic>
          </wp:inline>
        </w:drawing>
      </w:r>
    </w:p>
    <w:p w:rsidR="0096095D" w:rsidRDefault="00CF708D">
      <w:pPr>
        <w:pStyle w:val="ImageCaption"/>
      </w:pPr>
      <w:r>
        <w:t>Figure 11 Prediction Error of different prediction methods using different number of components.</w:t>
      </w:r>
    </w:p>
    <w:p w:rsidR="0096095D" w:rsidRDefault="00CF708D">
      <w:pPr>
        <w:pStyle w:val="BodyText"/>
      </w:pPr>
      <w:r>
        <w:lastRenderedPageBreak/>
        <w:t>Using a range of components from 1 to 15, a regression models were fitted using each of the methods. The fitted models were used to predict the test observation and the root mean squared error of prediction (RMSEP) was calculated. Figure 11 shows that PLS2 obtained minimum prediction error of 3.783 using 9 components in the case of response %Pufa while PLS1 obtained minimum prediction error of 1.308 using 11 components in the case of response PUFA%emul. However the figure also shows that both envelope methods have reached to almost minimum predicton error in fewer number of components. This pattern is also visible in the simulation results (Figure 9).</w:t>
      </w:r>
    </w:p>
    <w:p w:rsidR="0096095D" w:rsidRDefault="00CF708D">
      <w:pPr>
        <w:pStyle w:val="Heading2"/>
      </w:pPr>
      <w:bookmarkStart w:id="14" w:name="example-2-nir-spectra-of-biscuit-dough"/>
      <w:bookmarkEnd w:id="14"/>
      <w:r>
        <w:t>Example-2: NIR spectra of biscuit dough</w:t>
      </w:r>
    </w:p>
    <w:p w:rsidR="0096095D" w:rsidRDefault="00CF708D">
      <w:pPr>
        <w:pStyle w:val="FirstParagraph"/>
      </w:pPr>
      <w:r>
        <w:t>The dataset consists of 700 wavelengths of NIR spectra (1100–2498 nm in steps of 2 nm) which were used as predictor variables. There are four response variables as the yield percentages of (a) fat, (b) sucrose, (c) flour and (d) water. The measurements were taken from 40 training observation of biscuit dough. A separate set with 32 samples which were created and measured on different occasions were used as test observations. The dataset is borrowed from Indahl (</w:t>
      </w:r>
      <w:hyperlink w:anchor="ref-indahl2005twist">
        <w:r>
          <w:rPr>
            <w:rStyle w:val="Hyperlink"/>
          </w:rPr>
          <w:t>2005</w:t>
        </w:r>
      </w:hyperlink>
      <w:r>
        <w:t>) where further information can be obtained.</w:t>
      </w:r>
    </w:p>
    <w:p w:rsidR="0096095D" w:rsidRDefault="00CF708D">
      <w:pPr>
        <w:pStyle w:val="FigurewithCaption"/>
      </w:pPr>
      <w:r>
        <w:rPr>
          <w:noProof/>
        </w:rPr>
        <w:drawing>
          <wp:inline distT="0" distB="0" distL="0" distR="0">
            <wp:extent cx="5334000" cy="2132210"/>
            <wp:effectExtent l="0" t="0" r="0" b="0"/>
            <wp:docPr id="12" name="Picture" descr="Figure 12 (Left) Bar represents the eigenvalues corresponding to NIR Spectra. The points and line are the covariance between response and the principal components of NIR Spectra. All the values are normalized to scale from 0 to 1. (Middle) Cumulative sum of eigenvalues corresponding to predictors. (Right) Cumulative sum of eigenvalues corresponding to responses."/>
            <wp:cNvGraphicFramePr/>
            <a:graphic xmlns:a="http://schemas.openxmlformats.org/drawingml/2006/main">
              <a:graphicData uri="http://schemas.openxmlformats.org/drawingml/2006/picture">
                <pic:pic xmlns:pic="http://schemas.openxmlformats.org/drawingml/2006/picture">
                  <pic:nvPicPr>
                    <pic:cNvPr id="0" name="Picture" descr="main_files/figure-docx/ex2-cumulative-eigevalues-1.png"/>
                    <pic:cNvPicPr>
                      <a:picLocks noChangeAspect="1" noChangeArrowheads="1"/>
                    </pic:cNvPicPr>
                  </pic:nvPicPr>
                  <pic:blipFill>
                    <a:blip r:embed="rId19"/>
                    <a:stretch>
                      <a:fillRect/>
                    </a:stretch>
                  </pic:blipFill>
                  <pic:spPr bwMode="auto">
                    <a:xfrm>
                      <a:off x="0" y="0"/>
                      <a:ext cx="5334000" cy="2132210"/>
                    </a:xfrm>
                    <a:prstGeom prst="rect">
                      <a:avLst/>
                    </a:prstGeom>
                    <a:noFill/>
                    <a:ln w="9525">
                      <a:noFill/>
                      <a:headEnd/>
                      <a:tailEnd/>
                    </a:ln>
                  </pic:spPr>
                </pic:pic>
              </a:graphicData>
            </a:graphic>
          </wp:inline>
        </w:drawing>
      </w:r>
    </w:p>
    <w:p w:rsidR="0096095D" w:rsidRDefault="00CF708D">
      <w:pPr>
        <w:pStyle w:val="ImageCaption"/>
      </w:pPr>
      <w:r>
        <w:t>Figure 12 (Left) Bar represents the eigenvalues corresponding to NIR Spectra. The points and line are the covariance between response and the principal components of NIR Spectra. All the values are normalized to scale from 0 to 1. (Middle) Cumulative sum of eigenvalues corresponding to predictors. (Right) Cumulative sum of eigenvalues corresponding to responses.</w:t>
      </w:r>
    </w:p>
    <w:p w:rsidR="0096095D" w:rsidRDefault="00CF708D">
      <w:pPr>
        <w:pStyle w:val="BodyText"/>
      </w:pPr>
      <w:r>
        <w:t xml:space="preserve">Figure 12 (left) shows that the first predictor component has largest variance and also has large covariance with all response variables. The second component, however, has larger variance (middle) than the succeeding components but has small covaration with all the response which indicates that the component is less relevant for any of the responses. In addition, two response </w:t>
      </w:r>
      <w:r>
        <w:lastRenderedPageBreak/>
        <w:t>components have explained most of the variation in response variables (right). This structure is also somewhat similar to Design 19, although it is uncertain whether the dimension of the relevant space in the response matrix is larger than one.</w:t>
      </w:r>
    </w:p>
    <w:p w:rsidR="0096095D" w:rsidRDefault="00CF708D">
      <w:pPr>
        <w:pStyle w:val="FigurewithCaption"/>
      </w:pPr>
      <w:r>
        <w:rPr>
          <w:noProof/>
        </w:rPr>
        <w:drawing>
          <wp:inline distT="0" distB="0" distL="0" distR="0">
            <wp:extent cx="4725000" cy="3780000"/>
            <wp:effectExtent l="0" t="0" r="0" b="0"/>
            <wp:docPr id="13" name="Picture" descr="Figure 13 Prediction Error of different prediction methods using different number of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ain_files/figure-docx/ex2-prediction-error-1.png"/>
                    <pic:cNvPicPr>
                      <a:picLocks noChangeAspect="1" noChangeArrowheads="1"/>
                    </pic:cNvPicPr>
                  </pic:nvPicPr>
                  <pic:blipFill>
                    <a:blip r:embed="rId20"/>
                    <a:stretch>
                      <a:fillRect/>
                    </a:stretch>
                  </pic:blipFill>
                  <pic:spPr bwMode="auto">
                    <a:xfrm>
                      <a:off x="0" y="0"/>
                      <a:ext cx="4725000" cy="3780000"/>
                    </a:xfrm>
                    <a:prstGeom prst="rect">
                      <a:avLst/>
                    </a:prstGeom>
                    <a:noFill/>
                    <a:ln w="9525">
                      <a:noFill/>
                      <a:headEnd/>
                      <a:tailEnd/>
                    </a:ln>
                  </pic:spPr>
                </pic:pic>
              </a:graphicData>
            </a:graphic>
          </wp:inline>
        </w:drawing>
      </w:r>
    </w:p>
    <w:p w:rsidR="0096095D" w:rsidRDefault="00CF708D">
      <w:pPr>
        <w:pStyle w:val="ImageCaption"/>
      </w:pPr>
      <w:r>
        <w:t>Figure 13 Prediction Error of different prediction methods using different number of components.</w:t>
      </w:r>
    </w:p>
    <w:p w:rsidR="0096095D" w:rsidRDefault="00CF708D">
      <w:pPr>
        <w:pStyle w:val="BodyText"/>
      </w:pPr>
      <w:r>
        <w:t>Figure 13 (corresponding to Figure 11) shows the root mean squared error for both test and train prediction of the biscuit dough data. Here four different methods have minimum test prediction error for the four responses. As the structure of the data is similar to the first example, the pattern in the prediction is also similar for all methods.</w:t>
      </w:r>
    </w:p>
    <w:p w:rsidR="0096095D" w:rsidRDefault="00CF708D">
      <w:pPr>
        <w:pStyle w:val="BodyText"/>
      </w:pPr>
      <w:r>
        <w:t>The prediction performance on the test data of the envelop methods appears to be more stable compared to the PCR and PLS methods. Furthermore, the envelope methods obtain good performance generally using fewer components, which is in accordance with Figure 6.</w:t>
      </w:r>
    </w:p>
    <w:p w:rsidR="0096095D" w:rsidRDefault="00CF708D">
      <w:pPr>
        <w:pStyle w:val="Heading1"/>
      </w:pPr>
      <w:bookmarkStart w:id="15" w:name="discussions-and-conclusion"/>
      <w:bookmarkEnd w:id="15"/>
      <w:r>
        <w:t>Discussions and Conclusion</w:t>
      </w:r>
    </w:p>
    <w:p w:rsidR="0096095D" w:rsidRDefault="00CF708D">
      <w:pPr>
        <w:pStyle w:val="FirstParagraph"/>
      </w:pPr>
      <w:r>
        <w:t xml:space="preserve">Analysis with both simulated data and real data have shown that the envelope methods are more stable, less influenced by </w:t>
      </w:r>
      <w:r>
        <w:rPr>
          <w:rStyle w:val="VerbatimChar"/>
        </w:rPr>
        <w:t>relpos</w:t>
      </w:r>
      <w:r>
        <w:t xml:space="preserve"> and </w:t>
      </w:r>
      <w:r>
        <w:rPr>
          <w:rStyle w:val="VerbatimChar"/>
        </w:rPr>
        <w:t>gamma</w:t>
      </w:r>
      <w:r>
        <w:t xml:space="preserve"> and are in general performed better than PCR and PLS methods. These methods are also found to be less dependent on the number of components.</w:t>
      </w:r>
    </w:p>
    <w:p w:rsidR="0096095D" w:rsidRDefault="00CF708D">
      <w:pPr>
        <w:pStyle w:val="BodyText"/>
      </w:pPr>
      <w:r>
        <w:lastRenderedPageBreak/>
        <w:t>Since each facets in the Figure 5 and 6 have own scales, despite having some large prediction errors seen at the right tail, envelope methods still have smaller prediction error and have used fewer number of components than the other methods.</w:t>
      </w:r>
    </w:p>
    <w:p w:rsidR="0096095D" w:rsidRDefault="00CF708D">
      <w:pPr>
        <w:pStyle w:val="BodyText"/>
      </w:pPr>
      <w:r>
        <w:t>Particularly in the case of simultaneous envelope, since users can specify the number of dimension for the response envelope, the method can leverage the relevant space of response while PCR, PLS and Xenv are constrained to play only on predictor space</w:t>
      </w:r>
      <w:r w:rsidR="00613705">
        <w:t>.</w:t>
      </w:r>
    </w:p>
    <w:p w:rsidR="0096095D" w:rsidRDefault="00CF708D">
      <w:pPr>
        <w:pStyle w:val="BodyText"/>
      </w:pPr>
      <w:r>
        <w:t>Further, we have fixed the 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constant throughtout all the designs. Initial simulations (not shown) indicated that low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affect all methods in similar manner and the MANOVA is hightly dominated by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Keeping the value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fixed has allowed us to analyze other factors properly.</w:t>
      </w:r>
    </w:p>
    <w:p w:rsidR="0096095D" w:rsidRDefault="00CF708D">
      <w:pPr>
        <w:pStyle w:val="BodyText"/>
      </w:pPr>
      <w:r>
        <w:t xml:space="preserve">Two clear comment can be made about the effect of correlation of response on the prediction methods. Highly correlated response has shown highest prediction error in general and the effect is most distinct in envelope methods. Since the envelope methods identifies the relevant space as the span of relevant eigenvectors, the methods are able to obtain the minimum average prediction error by using fewer number of components for all levels of </w:t>
      </w:r>
      <w:r>
        <w:rPr>
          <w:rStyle w:val="VerbatimChar"/>
        </w:rPr>
        <w:t>eta</w:t>
      </w:r>
      <w:r>
        <w:t>.</w:t>
      </w:r>
    </w:p>
    <w:p w:rsidR="0096095D" w:rsidRDefault="00CF708D">
      <w:pPr>
        <w:pStyle w:val="BodyText"/>
      </w:pPr>
      <w:r>
        <w:t xml:space="preserve">As of our knowledge, the effect of correlation in the response on PCR and PLS methods are less explored. In this regards, it is interesting to see that these methods have used large number of components and returned larger prediction error than envelope methods in the case of highly correlated responses. In order to fully understand the effect of </w:t>
      </w:r>
      <w:r>
        <w:rPr>
          <w:rStyle w:val="VerbatimChar"/>
        </w:rPr>
        <w:t>eta</w:t>
      </w:r>
      <w:r>
        <w:t>, it is necessary to study the estimation performance of these methods at different number of components.</w:t>
      </w:r>
    </w:p>
    <w:p w:rsidR="0096095D" w:rsidRDefault="00CF708D">
      <w:pPr>
        <w:pStyle w:val="BodyText"/>
      </w:pPr>
      <w:r>
        <w:t xml:space="preserve">In addition, since using principal components or actual variables as predictors in envelope methods have shown similar results, we have used principal components that have explained 97.5% of the variation as mentioned previously in the cases of envelope methods for the designs where </w:t>
      </w:r>
      <m:oMath>
        <m:r>
          <w:rPr>
            <w:rFonts w:ascii="Cambria Math" w:hAnsi="Cambria Math"/>
          </w:rPr>
          <m:t>p&gt;n</m:t>
        </m:r>
      </m:oMath>
      <w:r>
        <w:t>. As the envelope methods are based on MLE and this can be an alternative way of using the methods in data with wide predictors. The results from this study will help researcher to understand these methods for different nature of data. We encourage researcher to use newly developed methods such as envlope based on the nature of data they are working on.</w:t>
      </w:r>
    </w:p>
    <w:p w:rsidR="0096095D" w:rsidRDefault="00CF708D">
      <w:pPr>
        <w:pStyle w:val="BodyText"/>
      </w:pPr>
      <w:r>
        <w:t>Since, this study have focused entirely on prediction performance, further analysis of their estimative properties of these methods is required. A study of estimation error and the behaviour of methods on non-optimal number of components can give deeper understanding of these methods.</w:t>
      </w:r>
    </w:p>
    <w:p w:rsidR="0096095D" w:rsidRDefault="00CF708D">
      <w:pPr>
        <w:pStyle w:val="BodyText"/>
      </w:pPr>
      <w:r>
        <w:lastRenderedPageBreak/>
        <w:t xml:space="preserve">A shiny application (Chang et al. </w:t>
      </w:r>
      <w:hyperlink w:anchor="ref-shiny">
        <w:r>
          <w:rPr>
            <w:rStyle w:val="Hyperlink"/>
          </w:rPr>
          <w:t>2018</w:t>
        </w:r>
      </w:hyperlink>
      <w:r>
        <w:t xml:space="preserve">) is availiable at </w:t>
      </w:r>
      <w:hyperlink r:id="rId21">
        <w:r>
          <w:rPr>
            <w:rStyle w:val="Hyperlink"/>
          </w:rPr>
          <w:t>http://therimalaya.shinyapps.io/Comparison</w:t>
        </w:r>
      </w:hyperlink>
      <w:r>
        <w:t xml:space="preserve"> where all the results related to this study can be visualized. In addition, a github repository at </w:t>
      </w:r>
      <w:hyperlink r:id="rId22">
        <w:r>
          <w:rPr>
            <w:rStyle w:val="Hyperlink"/>
          </w:rPr>
          <w:t>https://github.com/therimalaya/03-prediction-comparison</w:t>
        </w:r>
      </w:hyperlink>
      <w:r>
        <w:t xml:space="preserve"> can be used to reproduce this study.</w:t>
      </w:r>
    </w:p>
    <w:p w:rsidR="0096095D" w:rsidRDefault="00CF708D">
      <w:pPr>
        <w:pStyle w:val="Heading1"/>
      </w:pPr>
      <w:bookmarkStart w:id="16" w:name="acknowledgment"/>
      <w:bookmarkEnd w:id="16"/>
      <w:r>
        <w:t>Acknowledgment</w:t>
      </w:r>
    </w:p>
    <w:p w:rsidR="0096095D" w:rsidRDefault="00CF708D">
      <w:pPr>
        <w:pStyle w:val="FirstParagraph"/>
      </w:pPr>
      <w:r>
        <w:t>We are grateful to Inge Helland on his inputs on this paper throughout the period. His guidance on the envelope models and review on this paper helped us to shape this paper extensively. We would gratefully like to thank Kristian Lillan, Ulf Indahl, Tormod Næs, Ingrid Måge and the team for providing the data for analysis.</w:t>
      </w:r>
    </w:p>
    <w:p w:rsidR="00CE5B26" w:rsidRPr="00CE5B26" w:rsidRDefault="00CE5B26" w:rsidP="00CE5B26">
      <w:pPr>
        <w:pStyle w:val="Heading1"/>
      </w:pPr>
      <w:r>
        <w:t>References</w:t>
      </w:r>
    </w:p>
    <w:p w:rsidR="0096095D" w:rsidRDefault="00CF708D">
      <w:pPr>
        <w:pStyle w:val="BodyText"/>
      </w:pPr>
      <w:r>
        <w:t xml:space="preserve">Almøy, Trygve. 1996. “A simulation study on comparison of prediction methods when only a few components are relevant.” </w:t>
      </w:r>
      <w:r>
        <w:rPr>
          <w:i/>
        </w:rPr>
        <w:t>Computational Statistics &amp; Data Analysis</w:t>
      </w:r>
      <w:r>
        <w:t xml:space="preserve"> 21 (1). Elsevier {BV}: 87–107. doi:</w:t>
      </w:r>
      <w:hyperlink r:id="rId23">
        <w:r>
          <w:rPr>
            <w:rStyle w:val="Hyperlink"/>
          </w:rPr>
          <w:t>10.1016/0167-9473(95)00006-2</w:t>
        </w:r>
      </w:hyperlink>
      <w:r>
        <w:t>.</w:t>
      </w:r>
    </w:p>
    <w:p w:rsidR="0096095D" w:rsidRDefault="00CF708D">
      <w:pPr>
        <w:pStyle w:val="BodyText"/>
      </w:pPr>
      <w:r>
        <w:t xml:space="preserve">Chang, Winston, Joe Cheng, JJ Allaire, Yihui Xie, and Jonathan McPherson. 2018. </w:t>
      </w:r>
      <w:r>
        <w:rPr>
          <w:i/>
        </w:rPr>
        <w:t>Shiny: Web Application Framework for R</w:t>
      </w:r>
      <w:r>
        <w:t xml:space="preserve">. </w:t>
      </w:r>
      <w:hyperlink r:id="rId24">
        <w:r>
          <w:rPr>
            <w:rStyle w:val="Hyperlink"/>
          </w:rPr>
          <w:t>https://CRAN.R-project.org/package=shiny</w:t>
        </w:r>
      </w:hyperlink>
      <w:r>
        <w:t>.</w:t>
      </w:r>
    </w:p>
    <w:p w:rsidR="0096095D" w:rsidRDefault="00CF708D">
      <w:pPr>
        <w:pStyle w:val="BodyText"/>
      </w:pPr>
      <w:r>
        <w:t xml:space="preserve">Cook, R Dennis, Bing Li, and Francesca Chiaromonte. 2010. “Envelope Models for Parsimonious and Efficient Multivariate Linear Regression.” </w:t>
      </w:r>
      <w:r>
        <w:rPr>
          <w:i/>
        </w:rPr>
        <w:t>Statistica Sinica</w:t>
      </w:r>
      <w:r>
        <w:t xml:space="preserve"> 20 (3). JSTOR: 927–1010.</w:t>
      </w:r>
    </w:p>
    <w:p w:rsidR="0096095D" w:rsidRDefault="00CF708D">
      <w:pPr>
        <w:pStyle w:val="BodyText"/>
      </w:pPr>
      <w:r>
        <w:t xml:space="preserve">Cook, R. D., I. S. Helland, and Z. Su. 2013. “Envelopes and partial least squares regression.” </w:t>
      </w:r>
      <w:r>
        <w:rPr>
          <w:i/>
        </w:rPr>
        <w:t>Journal of the Royal Statistical Society. Series B: Statistical Methodology</w:t>
      </w:r>
      <w:r>
        <w:t xml:space="preserve"> 75 (5). Wiley Online Library: 851–77. doi:</w:t>
      </w:r>
      <w:hyperlink r:id="rId25">
        <w:r>
          <w:rPr>
            <w:rStyle w:val="Hyperlink"/>
          </w:rPr>
          <w:t>10.1111/rssb.12018</w:t>
        </w:r>
      </w:hyperlink>
      <w:r>
        <w:t>.</w:t>
      </w:r>
    </w:p>
    <w:p w:rsidR="0096095D" w:rsidRDefault="00CF708D">
      <w:pPr>
        <w:pStyle w:val="BodyText"/>
      </w:pPr>
      <w:r>
        <w:t xml:space="preserve">Cook, R. Dennis. 2018. </w:t>
      </w:r>
      <w:r>
        <w:rPr>
          <w:i/>
        </w:rPr>
        <w:t>An introduction to envelopes : dimension reduction for efficient estimation in multivariate statistics</w:t>
      </w:r>
      <w:r>
        <w:t>. 1st ed. Hoboken, NJ : John Wiley &amp; Sons, 2018.</w:t>
      </w:r>
    </w:p>
    <w:p w:rsidR="0096095D" w:rsidRDefault="00CF708D">
      <w:pPr>
        <w:pStyle w:val="BodyText"/>
      </w:pPr>
      <w:r>
        <w:t xml:space="preserve">Cook, R. Dennis, and Xin Zhang. 2015. “Simultaneous envelopes for multivariate linear regression.” </w:t>
      </w:r>
      <w:r>
        <w:rPr>
          <w:i/>
        </w:rPr>
        <w:t>Technometrics</w:t>
      </w:r>
      <w:r>
        <w:t xml:space="preserve"> 57 (1). Taylor &amp; Francis: 11–25. doi:</w:t>
      </w:r>
      <w:hyperlink r:id="rId26">
        <w:r>
          <w:rPr>
            <w:rStyle w:val="Hyperlink"/>
          </w:rPr>
          <w:t>10.1080/00401706.2013.872700</w:t>
        </w:r>
      </w:hyperlink>
      <w:r>
        <w:t>.</w:t>
      </w:r>
    </w:p>
    <w:p w:rsidR="0096095D" w:rsidRDefault="00CF708D">
      <w:pPr>
        <w:pStyle w:val="BodyText"/>
      </w:pPr>
      <w:r>
        <w:t xml:space="preserve">———. 2016. “Algorithms for Envelope Estimation.” </w:t>
      </w:r>
      <w:r>
        <w:rPr>
          <w:i/>
        </w:rPr>
        <w:t>Journal of Computational and Graphical Statistics</w:t>
      </w:r>
      <w:r>
        <w:t xml:space="preserve"> 25 (1). Taylor &amp; Francis: 284–300. doi:</w:t>
      </w:r>
      <w:hyperlink r:id="rId27">
        <w:r>
          <w:rPr>
            <w:rStyle w:val="Hyperlink"/>
          </w:rPr>
          <w:t>10.1080/10618600.2015.1029577</w:t>
        </w:r>
      </w:hyperlink>
      <w:r>
        <w:t>.</w:t>
      </w:r>
    </w:p>
    <w:p w:rsidR="0096095D" w:rsidRDefault="00CF708D">
      <w:pPr>
        <w:pStyle w:val="BodyText"/>
      </w:pPr>
      <w:r>
        <w:lastRenderedPageBreak/>
        <w:t xml:space="preserve">Cook, R. Dennis, Bing Li, and Francesca Chiaromonte. 2007. “Dimension reduction in regression without matrix inversion.” </w:t>
      </w:r>
      <w:r>
        <w:rPr>
          <w:i/>
        </w:rPr>
        <w:t>Biometrika</w:t>
      </w:r>
      <w:r>
        <w:t xml:space="preserve"> 94 (3): 569–84. doi:</w:t>
      </w:r>
      <w:hyperlink r:id="rId28">
        <w:r>
          <w:rPr>
            <w:rStyle w:val="Hyperlink"/>
          </w:rPr>
          <w:t>10.1093/biomet/asm038</w:t>
        </w:r>
      </w:hyperlink>
      <w:r>
        <w:t>.</w:t>
      </w:r>
    </w:p>
    <w:p w:rsidR="0096095D" w:rsidRDefault="00CF708D">
      <w:pPr>
        <w:pStyle w:val="BodyText"/>
      </w:pPr>
      <w:r>
        <w:t xml:space="preserve">Helland, Inge S. 1990. “Partial least squares regression and statistical models.” </w:t>
      </w:r>
      <w:r>
        <w:rPr>
          <w:i/>
        </w:rPr>
        <w:t>Scandinavian Journal of Statistics</w:t>
      </w:r>
      <w:r>
        <w:t xml:space="preserve"> 17 (2). JSTOR: 97–114. doi:</w:t>
      </w:r>
      <w:hyperlink r:id="rId29">
        <w:r>
          <w:rPr>
            <w:rStyle w:val="Hyperlink"/>
          </w:rPr>
          <w:t>10.2307/4616159</w:t>
        </w:r>
      </w:hyperlink>
      <w:r>
        <w:t>.</w:t>
      </w:r>
    </w:p>
    <w:p w:rsidR="0096095D" w:rsidRDefault="00CF708D">
      <w:pPr>
        <w:pStyle w:val="BodyText"/>
      </w:pPr>
      <w:r>
        <w:t xml:space="preserve">———. 2000. “Model Reduction for Prediction in Regression Models.” </w:t>
      </w:r>
      <w:r>
        <w:rPr>
          <w:i/>
        </w:rPr>
        <w:t>Scandinavian Journal of Statistics</w:t>
      </w:r>
      <w:r>
        <w:t xml:space="preserve"> 27 (1). Wiley-Blackwell: 1–20. doi:</w:t>
      </w:r>
      <w:hyperlink r:id="rId30">
        <w:r>
          <w:rPr>
            <w:rStyle w:val="Hyperlink"/>
          </w:rPr>
          <w:t>10.1111/1467-9469.00174</w:t>
        </w:r>
      </w:hyperlink>
      <w:r>
        <w:t>.</w:t>
      </w:r>
    </w:p>
    <w:p w:rsidR="0096095D" w:rsidRDefault="00CF708D">
      <w:pPr>
        <w:pStyle w:val="BodyText"/>
      </w:pPr>
      <w:r>
        <w:t xml:space="preserve">Helland, Inge S., and Trygve Almøy. 1994. “Comparison of prediction methods when only a few components are relevant.” </w:t>
      </w:r>
      <w:r>
        <w:rPr>
          <w:i/>
        </w:rPr>
        <w:t>Journal of the American Statistical Association</w:t>
      </w:r>
      <w:r>
        <w:t xml:space="preserve"> 89 (426): 583–91. doi:</w:t>
      </w:r>
      <w:hyperlink r:id="rId31">
        <w:r>
          <w:rPr>
            <w:rStyle w:val="Hyperlink"/>
          </w:rPr>
          <w:t>10.1080/01621459.1994.10476783</w:t>
        </w:r>
      </w:hyperlink>
      <w:r>
        <w:t>.</w:t>
      </w:r>
    </w:p>
    <w:p w:rsidR="0096095D" w:rsidRDefault="00CF708D">
      <w:pPr>
        <w:pStyle w:val="BodyText"/>
      </w:pPr>
      <w:r>
        <w:t xml:space="preserve">Helland, Inge S., Solve Saebø, and Ha Kon Tjelmeland. 2012. “Near Optimal Prediction from Relevant Components.” </w:t>
      </w:r>
      <w:r>
        <w:rPr>
          <w:i/>
        </w:rPr>
        <w:t>Scandinavian Journal of Statistics</w:t>
      </w:r>
      <w:r>
        <w:t xml:space="preserve"> 39 (4). Wiley Online Library: 695–713. doi:</w:t>
      </w:r>
      <w:hyperlink r:id="rId32">
        <w:r>
          <w:rPr>
            <w:rStyle w:val="Hyperlink"/>
          </w:rPr>
          <w:t>10.1111/j.1467-9469.2011.00770.x</w:t>
        </w:r>
      </w:hyperlink>
      <w:r>
        <w:t>.</w:t>
      </w:r>
    </w:p>
    <w:p w:rsidR="0096095D" w:rsidRDefault="00CF708D">
      <w:pPr>
        <w:pStyle w:val="BodyText"/>
      </w:pPr>
      <w:r>
        <w:t xml:space="preserve">Helland, Inge Svein, Solve Saebø, Trygve Almøy, Raju Rimal, Solve Sæbø, Trygve Almøy, and Raju Rimal. 2018. “Model and estimators for partial least squares regression.” </w:t>
      </w:r>
      <w:r>
        <w:rPr>
          <w:i/>
        </w:rPr>
        <w:t>Journal of Chemometrics</w:t>
      </w:r>
      <w:r>
        <w:t xml:space="preserve"> 32 (9). Wiley Online Library: e3044. doi:</w:t>
      </w:r>
      <w:hyperlink r:id="rId33">
        <w:r>
          <w:rPr>
            <w:rStyle w:val="Hyperlink"/>
          </w:rPr>
          <w:t>10.1002/cem.3044</w:t>
        </w:r>
      </w:hyperlink>
      <w:r>
        <w:t>.</w:t>
      </w:r>
    </w:p>
    <w:p w:rsidR="0096095D" w:rsidRDefault="00CF708D">
      <w:pPr>
        <w:pStyle w:val="BodyText"/>
      </w:pPr>
      <w:r>
        <w:t xml:space="preserve">Indahl, Ulf. 2005. “A twist to partial least squares regression.” </w:t>
      </w:r>
      <w:r>
        <w:rPr>
          <w:i/>
        </w:rPr>
        <w:t>Journal of Chemometrics</w:t>
      </w:r>
      <w:r>
        <w:t xml:space="preserve"> 19 (1). Wiley Online Library: 32–44. doi:</w:t>
      </w:r>
      <w:hyperlink r:id="rId34">
        <w:r>
          <w:rPr>
            <w:rStyle w:val="Hyperlink"/>
          </w:rPr>
          <w:t>10.1002/cem.904</w:t>
        </w:r>
      </w:hyperlink>
      <w:r>
        <w:t>.</w:t>
      </w:r>
    </w:p>
    <w:p w:rsidR="0096095D" w:rsidRPr="003B744F" w:rsidRDefault="00CF708D">
      <w:pPr>
        <w:pStyle w:val="BodyText"/>
        <w:rPr>
          <w:lang w:val="nb-NO"/>
        </w:rPr>
      </w:pPr>
      <w:r>
        <w:t xml:space="preserve">Johnson, R.A., and D.W. Wichern. 2018. </w:t>
      </w:r>
      <w:r>
        <w:rPr>
          <w:i/>
        </w:rPr>
        <w:t>Applied Multivariate Statistical Analysis (Classic Version)</w:t>
      </w:r>
      <w:r>
        <w:t xml:space="preserve">. Pearson Modern Classics for Advanced Statistics Series. Pearson Education Canada. </w:t>
      </w:r>
      <w:hyperlink r:id="rId35">
        <w:r w:rsidRPr="003B744F">
          <w:rPr>
            <w:rStyle w:val="Hyperlink"/>
            <w:lang w:val="nb-NO"/>
          </w:rPr>
          <w:t>https://books.google.no/books?id=QBqlswEACAAJ</w:t>
        </w:r>
      </w:hyperlink>
      <w:r w:rsidRPr="003B744F">
        <w:rPr>
          <w:lang w:val="nb-NO"/>
        </w:rPr>
        <w:t>.</w:t>
      </w:r>
    </w:p>
    <w:p w:rsidR="0096095D" w:rsidRDefault="00CF708D">
      <w:pPr>
        <w:pStyle w:val="BodyText"/>
      </w:pPr>
      <w:proofErr w:type="spellStart"/>
      <w:r w:rsidRPr="003B744F">
        <w:rPr>
          <w:lang w:val="nb-NO"/>
        </w:rPr>
        <w:t>Jolliffe</w:t>
      </w:r>
      <w:proofErr w:type="spellEnd"/>
      <w:r w:rsidRPr="003B744F">
        <w:rPr>
          <w:lang w:val="nb-NO"/>
        </w:rPr>
        <w:t xml:space="preserve">, I T. 2002. </w:t>
      </w:r>
      <w:r>
        <w:rPr>
          <w:i/>
        </w:rPr>
        <w:t>Principal Component Analysis, Second Edition</w:t>
      </w:r>
      <w:r>
        <w:t>. doi:</w:t>
      </w:r>
      <w:hyperlink r:id="rId36">
        <w:r>
          <w:rPr>
            <w:rStyle w:val="Hyperlink"/>
          </w:rPr>
          <w:t>10.2307/1270093</w:t>
        </w:r>
      </w:hyperlink>
      <w:r>
        <w:t>.</w:t>
      </w:r>
    </w:p>
    <w:p w:rsidR="0096095D" w:rsidRDefault="00CF708D">
      <w:pPr>
        <w:pStyle w:val="BodyText"/>
      </w:pPr>
      <w:r>
        <w:t xml:space="preserve">Jong, Sijmen de. 1993. “SIMPLS: An alternative approach to partial least squares regression.” </w:t>
      </w:r>
      <w:r>
        <w:rPr>
          <w:i/>
        </w:rPr>
        <w:t>Chemometrics and Intelligent Laboratory Systems</w:t>
      </w:r>
      <w:r>
        <w:t xml:space="preserve"> 18 (3): 251–63. doi:</w:t>
      </w:r>
      <w:hyperlink r:id="rId37">
        <w:r>
          <w:rPr>
            <w:rStyle w:val="Hyperlink"/>
          </w:rPr>
          <w:t>10.1016/0169-7439(93)85002-X</w:t>
        </w:r>
      </w:hyperlink>
      <w:r>
        <w:t>.</w:t>
      </w:r>
    </w:p>
    <w:p w:rsidR="0096095D" w:rsidRDefault="00CF708D">
      <w:pPr>
        <w:pStyle w:val="BodyText"/>
      </w:pPr>
      <w:r>
        <w:t xml:space="preserve">Lee, Minji, and Zhihua Su. 2018. </w:t>
      </w:r>
      <w:r>
        <w:rPr>
          <w:i/>
        </w:rPr>
        <w:t>Renvlp: Computing Envelope Estimators</w:t>
      </w:r>
      <w:r>
        <w:t xml:space="preserve">. </w:t>
      </w:r>
      <w:hyperlink r:id="rId38">
        <w:r>
          <w:rPr>
            <w:rStyle w:val="Hyperlink"/>
          </w:rPr>
          <w:t>https://CRAN.R-project.org/package=Renvlp</w:t>
        </w:r>
      </w:hyperlink>
      <w:r>
        <w:t>.</w:t>
      </w:r>
    </w:p>
    <w:p w:rsidR="0096095D" w:rsidRDefault="00CF708D">
      <w:pPr>
        <w:pStyle w:val="BodyText"/>
      </w:pPr>
      <w:proofErr w:type="spellStart"/>
      <w:r w:rsidRPr="003B744F">
        <w:rPr>
          <w:lang w:val="nb-NO"/>
        </w:rPr>
        <w:t>Mevik</w:t>
      </w:r>
      <w:proofErr w:type="spellEnd"/>
      <w:r w:rsidRPr="003B744F">
        <w:rPr>
          <w:lang w:val="nb-NO"/>
        </w:rPr>
        <w:t xml:space="preserve">, Bjørn-Helge, Ron </w:t>
      </w:r>
      <w:proofErr w:type="spellStart"/>
      <w:r w:rsidRPr="003B744F">
        <w:rPr>
          <w:lang w:val="nb-NO"/>
        </w:rPr>
        <w:t>Wehrens</w:t>
      </w:r>
      <w:proofErr w:type="spellEnd"/>
      <w:r w:rsidRPr="003B744F">
        <w:rPr>
          <w:lang w:val="nb-NO"/>
        </w:rPr>
        <w:t xml:space="preserve">, and Kristian Hovde Liland. </w:t>
      </w:r>
      <w:r>
        <w:t xml:space="preserve">2018. </w:t>
      </w:r>
      <w:r>
        <w:rPr>
          <w:i/>
        </w:rPr>
        <w:t>Pls: Partial Least Squares and Principal Component Regression</w:t>
      </w:r>
      <w:r>
        <w:t xml:space="preserve">. </w:t>
      </w:r>
      <w:hyperlink r:id="rId39">
        <w:r>
          <w:rPr>
            <w:rStyle w:val="Hyperlink"/>
          </w:rPr>
          <w:t>https://CRAN.R-project.org/package=pls</w:t>
        </w:r>
      </w:hyperlink>
      <w:r>
        <w:t>.</w:t>
      </w:r>
    </w:p>
    <w:p w:rsidR="0096095D" w:rsidRDefault="00CF708D">
      <w:pPr>
        <w:pStyle w:val="BodyText"/>
      </w:pPr>
      <w:r>
        <w:lastRenderedPageBreak/>
        <w:t xml:space="preserve">Naes, Tormod, and Harald Martens. 1985. “Comparison of prediction methods for multicollinear data.” </w:t>
      </w:r>
      <w:r>
        <w:rPr>
          <w:i/>
        </w:rPr>
        <w:t>Communications in Statistics - Simulation and Computation</w:t>
      </w:r>
      <w:r>
        <w:t xml:space="preserve"> 14 (3): 545–76. doi:</w:t>
      </w:r>
      <w:hyperlink r:id="rId40">
        <w:r>
          <w:rPr>
            <w:rStyle w:val="Hyperlink"/>
          </w:rPr>
          <w:t>10.1080/03610918508812458</w:t>
        </w:r>
      </w:hyperlink>
      <w:r>
        <w:t>.</w:t>
      </w:r>
    </w:p>
    <w:p w:rsidR="0096095D" w:rsidRDefault="00CF708D">
      <w:pPr>
        <w:pStyle w:val="BodyText"/>
      </w:pPr>
      <w:r>
        <w:t xml:space="preserve">Næs, Tormod, and Inge S Helland. 1993. “Relevant components in regression.” </w:t>
      </w:r>
      <w:r>
        <w:rPr>
          <w:i/>
        </w:rPr>
        <w:t>Scandinavian Journal of Statistics</w:t>
      </w:r>
      <w:r>
        <w:t xml:space="preserve"> 20 (3). JSTOR: 239–50.</w:t>
      </w:r>
    </w:p>
    <w:p w:rsidR="0096095D" w:rsidRDefault="00CF708D">
      <w:pPr>
        <w:pStyle w:val="BodyText"/>
      </w:pPr>
      <w:r>
        <w:t xml:space="preserve">Næs, Tormod, Oliver Tomic, Nils Kristian Afseth, Vegard Segtnan, and Ingrid Måge. 2013. “Multi-Block Regression Based on Combinations of Orthogonalisation, Pls-Regression and Canonical Correlation Analysis.” </w:t>
      </w:r>
      <w:r>
        <w:rPr>
          <w:i/>
        </w:rPr>
        <w:t>Chemometrics and Intelligent Laboratory Systems</w:t>
      </w:r>
      <w:r>
        <w:t xml:space="preserve"> 124. Elsevier: 32–42.</w:t>
      </w:r>
    </w:p>
    <w:p w:rsidR="0096095D" w:rsidRDefault="00CF708D">
      <w:pPr>
        <w:pStyle w:val="BodyText"/>
      </w:pPr>
      <w:r>
        <w:t xml:space="preserve">Rencher, Alvin C. 2003. </w:t>
      </w:r>
      <w:r>
        <w:rPr>
          <w:i/>
        </w:rPr>
        <w:t>Methods of Multivariate Analysis</w:t>
      </w:r>
      <w:r>
        <w:t>. Vol. 492. John Wiley &amp; Sons.</w:t>
      </w:r>
    </w:p>
    <w:p w:rsidR="0096095D" w:rsidRDefault="00CF708D">
      <w:pPr>
        <w:pStyle w:val="BodyText"/>
      </w:pPr>
      <w:r>
        <w:t xml:space="preserve">Rimal, Raju, Trygve Almøy, and Solve Sæbø. 2018. “A tool for simulating multi-response linear model data.” </w:t>
      </w:r>
      <w:r>
        <w:rPr>
          <w:i/>
        </w:rPr>
        <w:t>Chemometrics and Intelligent Laboratory Systems</w:t>
      </w:r>
      <w:r>
        <w:t xml:space="preserve"> 176 (May). Elsevier: 1–10. doi:</w:t>
      </w:r>
      <w:hyperlink r:id="rId41">
        <w:r>
          <w:rPr>
            <w:rStyle w:val="Hyperlink"/>
          </w:rPr>
          <w:t>10.1016/j.chemolab.2018.02.009</w:t>
        </w:r>
      </w:hyperlink>
      <w:r>
        <w:t>.</w:t>
      </w:r>
    </w:p>
    <w:p w:rsidR="0096095D" w:rsidRDefault="00CF708D" w:rsidP="004D1D1D">
      <w:pPr>
        <w:pStyle w:val="BodyText"/>
      </w:pPr>
      <w:r w:rsidRPr="003B744F">
        <w:rPr>
          <w:lang w:val="nb-NO"/>
        </w:rPr>
        <w:t xml:space="preserve">Sæbø, </w:t>
      </w:r>
      <w:proofErr w:type="spellStart"/>
      <w:r w:rsidRPr="003B744F">
        <w:rPr>
          <w:lang w:val="nb-NO"/>
        </w:rPr>
        <w:t>Solve</w:t>
      </w:r>
      <w:proofErr w:type="spellEnd"/>
      <w:r w:rsidRPr="003B744F">
        <w:rPr>
          <w:lang w:val="nb-NO"/>
        </w:rPr>
        <w:t xml:space="preserve">, Trygve </w:t>
      </w:r>
      <w:proofErr w:type="spellStart"/>
      <w:r w:rsidRPr="003B744F">
        <w:rPr>
          <w:lang w:val="nb-NO"/>
        </w:rPr>
        <w:t>Almøy</w:t>
      </w:r>
      <w:proofErr w:type="spellEnd"/>
      <w:r w:rsidRPr="003B744F">
        <w:rPr>
          <w:lang w:val="nb-NO"/>
        </w:rPr>
        <w:t xml:space="preserve">, and Inge S. Helland. </w:t>
      </w:r>
      <w:r>
        <w:t xml:space="preserve">2015. “Simrel - A versatile tool for linear model data simulation based on the concept of a relevant subspace and relevant predictors.” </w:t>
      </w:r>
      <w:r>
        <w:rPr>
          <w:i/>
        </w:rPr>
        <w:t>Chemometrics and Intelligent Laboratory Systems</w:t>
      </w:r>
      <w:r>
        <w:t xml:space="preserve"> 146. Elsevier B.V.: 128–35. doi:</w:t>
      </w:r>
      <w:hyperlink r:id="rId42">
        <w:r>
          <w:rPr>
            <w:rStyle w:val="Hyperlink"/>
          </w:rPr>
          <w:t>10.1016/j.chemolab.2015.05.012</w:t>
        </w:r>
      </w:hyperlink>
      <w:r>
        <w:t>.</w:t>
      </w:r>
      <w:bookmarkStart w:id="17" w:name="appendix-a"/>
      <w:bookmarkEnd w:id="17"/>
    </w:p>
    <w:p w:rsidR="007D7540" w:rsidRDefault="007D7540" w:rsidP="004D1D1D">
      <w:pPr>
        <w:pStyle w:val="BodyText"/>
      </w:pPr>
    </w:p>
    <w:sectPr w:rsidR="007D7540" w:rsidSect="003B744F">
      <w:pgSz w:w="11900" w:h="16840" w:code="9"/>
      <w:pgMar w:top="1417" w:right="1417" w:bottom="1417" w:left="1417"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0E1D" w:rsidRDefault="002E0E1D">
      <w:pPr>
        <w:spacing w:after="0" w:line="240" w:lineRule="auto"/>
      </w:pPr>
      <w:r>
        <w:separator/>
      </w:r>
    </w:p>
  </w:endnote>
  <w:endnote w:type="continuationSeparator" w:id="0">
    <w:p w:rsidR="002E0E1D" w:rsidRDefault="002E0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angal">
    <w:panose1 w:val="02040503050203030202"/>
    <w:charset w:val="01"/>
    <w:family w:val="roman"/>
    <w:pitch w:val="variable"/>
    <w:sig w:usb0="0000A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0E1D" w:rsidRDefault="002E0E1D">
      <w:r>
        <w:separator/>
      </w:r>
    </w:p>
  </w:footnote>
  <w:footnote w:type="continuationSeparator" w:id="0">
    <w:p w:rsidR="002E0E1D" w:rsidRDefault="002E0E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D279475"/>
    <w:multiLevelType w:val="multilevel"/>
    <w:tmpl w:val="D43818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30807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8F7E640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4C0E8CE"/>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50E3B44"/>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01C65C02"/>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5D4814E0"/>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F6DACC9C"/>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632E6924"/>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47446E6C"/>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3FB6980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F6CC58E"/>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174C78F9"/>
    <w:multiLevelType w:val="hybridMultilevel"/>
    <w:tmpl w:val="53520BFE"/>
    <w:lvl w:ilvl="0" w:tplc="E4BEEF18">
      <w:start w:val="1"/>
      <w:numFmt w:val="bullet"/>
      <w:lvlText w:val=""/>
      <w:lvlJc w:val="left"/>
      <w:pPr>
        <w:ind w:left="284"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712E94"/>
    <w:multiLevelType w:val="hybridMultilevel"/>
    <w:tmpl w:val="386C0AB2"/>
    <w:lvl w:ilvl="0" w:tplc="7B169446">
      <w:start w:val="1"/>
      <w:numFmt w:val="bullet"/>
      <w:lvlText w:val=""/>
      <w:lvlJc w:val="left"/>
      <w:pPr>
        <w:ind w:left="425" w:hanging="425"/>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899182"/>
    <w:multiLevelType w:val="multilevel"/>
    <w:tmpl w:val="239C617A"/>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num>
  <w:num w:numId="5">
    <w:abstractNumId w:val="3"/>
  </w:num>
  <w:num w:numId="6">
    <w:abstractNumId w:val="4"/>
  </w:num>
  <w:num w:numId="7">
    <w:abstractNumId w:val="5"/>
  </w:num>
  <w:num w:numId="8">
    <w:abstractNumId w:val="10"/>
  </w:num>
  <w:num w:numId="9">
    <w:abstractNumId w:val="6"/>
  </w:num>
  <w:num w:numId="10">
    <w:abstractNumId w:val="7"/>
  </w:num>
  <w:num w:numId="11">
    <w:abstractNumId w:val="8"/>
  </w:num>
  <w:num w:numId="12">
    <w:abstractNumId w:val="9"/>
  </w:num>
  <w:num w:numId="13">
    <w:abstractNumId w:val="11"/>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embedSystemFonts/>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45EFF"/>
    <w:rsid w:val="002E0E1D"/>
    <w:rsid w:val="00302F8A"/>
    <w:rsid w:val="003A34EE"/>
    <w:rsid w:val="003B744F"/>
    <w:rsid w:val="003F0D48"/>
    <w:rsid w:val="00463C65"/>
    <w:rsid w:val="004D1D1D"/>
    <w:rsid w:val="004E29B3"/>
    <w:rsid w:val="00590D07"/>
    <w:rsid w:val="00613705"/>
    <w:rsid w:val="0069272E"/>
    <w:rsid w:val="00784D58"/>
    <w:rsid w:val="00785E4C"/>
    <w:rsid w:val="007D7540"/>
    <w:rsid w:val="007E529D"/>
    <w:rsid w:val="00826A92"/>
    <w:rsid w:val="008904D8"/>
    <w:rsid w:val="008C502E"/>
    <w:rsid w:val="008D6863"/>
    <w:rsid w:val="0094056D"/>
    <w:rsid w:val="00955245"/>
    <w:rsid w:val="0096095D"/>
    <w:rsid w:val="00A22BE6"/>
    <w:rsid w:val="00B0058B"/>
    <w:rsid w:val="00B86B75"/>
    <w:rsid w:val="00BC48D5"/>
    <w:rsid w:val="00C36279"/>
    <w:rsid w:val="00CA0A32"/>
    <w:rsid w:val="00CE5B26"/>
    <w:rsid w:val="00CF708D"/>
    <w:rsid w:val="00E315A3"/>
    <w:rsid w:val="00FC0A61"/>
  </w:rsids>
  <m:mathPr>
    <m:mathFont m:val="Cambria Math"/>
    <m:brkBin m:val="before"/>
    <m:brkBinSub m:val="--"/>
    <m:smallFrac m:val="0"/>
    <m:dispDef m:val="0"/>
    <m:lMargin m:val="0"/>
    <m:rMargin m:val="0"/>
    <m:defJc m:val="centerGroup"/>
    <m:wrapRight/>
    <m:intLim m:val="subSup"/>
    <m:naryLim m:val="subSup"/>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6BB4D36-08C1-7B4F-BAF9-045422059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20" w:line="360" w:lineRule="auto"/>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B744F"/>
    <w:pPr>
      <w:jc w:val="both"/>
    </w:p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5C6C1E"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83992A"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83992A"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83992A"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83992A"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5C6C1E"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826A92"/>
    <w:pPr>
      <w:keepNext/>
      <w:keepLines/>
      <w:spacing w:before="300" w:after="300"/>
      <w:jc w:val="center"/>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Pr>
      <w:i/>
    </w:rPr>
  </w:style>
  <w:style w:type="paragraph" w:customStyle="1" w:styleId="TableCaption">
    <w:name w:val="Table Caption"/>
    <w:basedOn w:val="Caption"/>
    <w:pPr>
      <w:keepNext/>
    </w:pPr>
  </w:style>
  <w:style w:type="paragraph" w:customStyle="1" w:styleId="ImageCaption">
    <w:name w:val="Image Caption"/>
    <w:basedOn w:val="Caption"/>
    <w:rsid w:val="003B744F"/>
    <w:pPr>
      <w:jc w:val="center"/>
    </w:pPr>
  </w:style>
  <w:style w:type="paragraph" w:customStyle="1" w:styleId="Figure">
    <w:name w:val="Figure"/>
    <w:basedOn w:val="Normal"/>
  </w:style>
  <w:style w:type="paragraph" w:customStyle="1" w:styleId="FigurewithCaption">
    <w:name w:val="Figure with Caption"/>
    <w:basedOn w:val="Figure"/>
    <w:rsid w:val="003B744F"/>
    <w:pPr>
      <w:keepNext/>
      <w:jc w:val="center"/>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955245"/>
    <w:rPr>
      <w:rFonts w:ascii="Consolas" w:hAnsi="Consolas"/>
    </w:rPr>
  </w:style>
  <w:style w:type="character" w:styleId="FootnoteReference">
    <w:name w:val="footnote reference"/>
    <w:basedOn w:val="CaptionChar"/>
    <w:rPr>
      <w:vertAlign w:val="superscript"/>
    </w:rPr>
  </w:style>
  <w:style w:type="character" w:styleId="Hyperlink">
    <w:name w:val="Hyperlink"/>
    <w:basedOn w:val="CaptionChar"/>
    <w:rPr>
      <w:color w:val="83992A"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61721F" w:themeColor="accent1" w:themeShade="BF"/>
    </w:rPr>
  </w:style>
  <w:style w:type="paragraph" w:customStyle="1" w:styleId="SourceCode">
    <w:name w:val="Source Code"/>
    <w:basedOn w:val="Normal"/>
    <w:link w:val="VerbatimChar"/>
    <w:rsid w:val="00955245"/>
    <w:pPr>
      <w:wordWrap w:val="0"/>
    </w:pPr>
    <w:rPr>
      <w:rFonts w:ascii="Consolas" w:hAnsi="Consolas"/>
    </w:rPr>
  </w:style>
  <w:style w:type="character" w:customStyle="1" w:styleId="KeywordTok">
    <w:name w:val="KeywordTok"/>
    <w:basedOn w:val="VerbatimChar"/>
    <w:rsid w:val="00955245"/>
    <w:rPr>
      <w:rFonts w:ascii="Consolas" w:hAnsi="Consolas"/>
      <w:b/>
      <w:color w:val="204A87"/>
      <w:sz w:val="20"/>
      <w:bdr w:val="none" w:sz="0" w:space="0" w:color="auto"/>
      <w:shd w:val="clear" w:color="auto" w:fill="auto"/>
    </w:rPr>
  </w:style>
  <w:style w:type="character" w:customStyle="1" w:styleId="DataTypeTok">
    <w:name w:val="DataTypeTok"/>
    <w:basedOn w:val="VerbatimChar"/>
    <w:rsid w:val="00955245"/>
    <w:rPr>
      <w:rFonts w:ascii="Consolas" w:hAnsi="Consolas"/>
      <w:color w:val="204A87"/>
      <w:sz w:val="20"/>
      <w:bdr w:val="none" w:sz="0" w:space="0" w:color="auto"/>
      <w:shd w:val="clear" w:color="auto" w:fill="auto"/>
    </w:rPr>
  </w:style>
  <w:style w:type="character" w:customStyle="1" w:styleId="DecValTok">
    <w:name w:val="DecValTok"/>
    <w:basedOn w:val="VerbatimChar"/>
    <w:rsid w:val="00955245"/>
    <w:rPr>
      <w:rFonts w:ascii="Consolas" w:hAnsi="Consolas"/>
      <w:color w:val="0000CF"/>
      <w:sz w:val="20"/>
      <w:bdr w:val="none" w:sz="0" w:space="0" w:color="auto"/>
      <w:shd w:val="clear" w:color="auto" w:fill="auto"/>
    </w:rPr>
  </w:style>
  <w:style w:type="character" w:customStyle="1" w:styleId="BaseNTok">
    <w:name w:val="BaseNTok"/>
    <w:basedOn w:val="VerbatimChar"/>
    <w:rPr>
      <w:rFonts w:ascii="Consolas" w:hAnsi="Consolas"/>
      <w:color w:val="0000CF"/>
      <w:shd w:val="clear" w:color="auto" w:fill="F8F8F8"/>
    </w:rPr>
  </w:style>
  <w:style w:type="character" w:customStyle="1" w:styleId="FloatTok">
    <w:name w:val="FloatTok"/>
    <w:basedOn w:val="VerbatimChar"/>
    <w:rsid w:val="00955245"/>
    <w:rPr>
      <w:rFonts w:ascii="Consolas" w:hAnsi="Consolas"/>
      <w:color w:val="0000CF"/>
      <w:sz w:val="20"/>
      <w:bdr w:val="none" w:sz="0" w:space="0" w:color="auto"/>
      <w:shd w:val="clear" w:color="auto" w:fill="auto"/>
    </w:rPr>
  </w:style>
  <w:style w:type="character" w:customStyle="1" w:styleId="ConstantTok">
    <w:name w:val="ConstantTok"/>
    <w:basedOn w:val="VerbatimChar"/>
    <w:rPr>
      <w:rFonts w:ascii="Consolas" w:hAnsi="Consolas"/>
      <w:color w:val="000000"/>
      <w:shd w:val="clear" w:color="auto" w:fill="F8F8F8"/>
    </w:rPr>
  </w:style>
  <w:style w:type="character" w:customStyle="1" w:styleId="CharTok">
    <w:name w:val="CharTok"/>
    <w:basedOn w:val="VerbatimChar"/>
    <w:rPr>
      <w:rFonts w:ascii="Consolas" w:hAnsi="Consolas"/>
      <w:color w:val="4E9A06"/>
      <w:shd w:val="clear" w:color="auto" w:fill="F8F8F8"/>
    </w:rPr>
  </w:style>
  <w:style w:type="character" w:customStyle="1" w:styleId="SpecialCharTok">
    <w:name w:val="SpecialCharTok"/>
    <w:basedOn w:val="VerbatimChar"/>
    <w:rPr>
      <w:rFonts w:ascii="Consolas" w:hAnsi="Consolas"/>
      <w:color w:val="000000"/>
      <w:shd w:val="clear" w:color="auto" w:fill="F8F8F8"/>
    </w:rPr>
  </w:style>
  <w:style w:type="character" w:customStyle="1" w:styleId="StringTok">
    <w:name w:val="StringTok"/>
    <w:basedOn w:val="VerbatimChar"/>
    <w:rsid w:val="00955245"/>
    <w:rPr>
      <w:rFonts w:ascii="Consolas" w:hAnsi="Consolas"/>
      <w:color w:val="4E9A06"/>
      <w:sz w:val="20"/>
      <w:bdr w:val="none" w:sz="0" w:space="0" w:color="auto"/>
      <w:shd w:val="clear" w:color="auto" w:fill="auto"/>
    </w:rPr>
  </w:style>
  <w:style w:type="character" w:customStyle="1" w:styleId="VerbatimStringTok">
    <w:name w:val="VerbatimStringTok"/>
    <w:basedOn w:val="VerbatimChar"/>
    <w:rPr>
      <w:rFonts w:ascii="Consolas" w:hAnsi="Consolas"/>
      <w:color w:val="4E9A06"/>
      <w:shd w:val="clear" w:color="auto" w:fill="F8F8F8"/>
    </w:rPr>
  </w:style>
  <w:style w:type="character" w:customStyle="1" w:styleId="SpecialStringTok">
    <w:name w:val="SpecialStringTok"/>
    <w:basedOn w:val="VerbatimChar"/>
    <w:rPr>
      <w:rFonts w:ascii="Consolas" w:hAnsi="Consolas"/>
      <w:color w:val="4E9A06"/>
      <w:shd w:val="clear" w:color="auto" w:fill="F8F8F8"/>
    </w:rPr>
  </w:style>
  <w:style w:type="character" w:customStyle="1" w:styleId="ImportTok">
    <w:name w:val="ImportTok"/>
    <w:basedOn w:val="VerbatimChar"/>
    <w:rPr>
      <w:rFonts w:ascii="Consolas" w:hAnsi="Consolas"/>
      <w:shd w:val="clear" w:color="auto" w:fill="F8F8F8"/>
    </w:rPr>
  </w:style>
  <w:style w:type="character" w:customStyle="1" w:styleId="CommentTok">
    <w:name w:val="CommentTok"/>
    <w:basedOn w:val="VerbatimChar"/>
    <w:rPr>
      <w:rFonts w:ascii="Consolas" w:hAnsi="Consolas"/>
      <w:i/>
      <w:color w:val="8F5902"/>
      <w:shd w:val="clear" w:color="auto" w:fill="F8F8F8"/>
    </w:rPr>
  </w:style>
  <w:style w:type="character" w:customStyle="1" w:styleId="DocumentationTok">
    <w:name w:val="DocumentationTok"/>
    <w:basedOn w:val="VerbatimChar"/>
    <w:rPr>
      <w:rFonts w:ascii="Consolas" w:hAnsi="Consolas"/>
      <w:b/>
      <w:i/>
      <w:color w:val="8F5902"/>
      <w:shd w:val="clear" w:color="auto" w:fill="F8F8F8"/>
    </w:rPr>
  </w:style>
  <w:style w:type="character" w:customStyle="1" w:styleId="AnnotationTok">
    <w:name w:val="AnnotationTok"/>
    <w:basedOn w:val="VerbatimChar"/>
    <w:rPr>
      <w:rFonts w:ascii="Consolas" w:hAnsi="Consolas"/>
      <w:b/>
      <w:i/>
      <w:color w:val="8F5902"/>
      <w:shd w:val="clear" w:color="auto" w:fill="F8F8F8"/>
    </w:rPr>
  </w:style>
  <w:style w:type="character" w:customStyle="1" w:styleId="CommentVarTok">
    <w:name w:val="CommentVarTok"/>
    <w:basedOn w:val="VerbatimChar"/>
    <w:rPr>
      <w:rFonts w:ascii="Consolas" w:hAnsi="Consolas"/>
      <w:b/>
      <w:i/>
      <w:color w:val="8F5902"/>
      <w:shd w:val="clear" w:color="auto" w:fill="F8F8F8"/>
    </w:rPr>
  </w:style>
  <w:style w:type="character" w:customStyle="1" w:styleId="OtherTok">
    <w:name w:val="OtherTok"/>
    <w:basedOn w:val="VerbatimChar"/>
    <w:rPr>
      <w:rFonts w:ascii="Consolas" w:hAnsi="Consolas"/>
      <w:color w:val="8F5902"/>
      <w:shd w:val="clear" w:color="auto" w:fill="F8F8F8"/>
    </w:rPr>
  </w:style>
  <w:style w:type="character" w:customStyle="1" w:styleId="FunctionTok">
    <w:name w:val="FunctionTok"/>
    <w:basedOn w:val="VerbatimChar"/>
    <w:rPr>
      <w:rFonts w:ascii="Consolas" w:hAnsi="Consolas"/>
      <w:color w:val="000000"/>
      <w:shd w:val="clear" w:color="auto" w:fill="F8F8F8"/>
    </w:rPr>
  </w:style>
  <w:style w:type="character" w:customStyle="1" w:styleId="VariableTok">
    <w:name w:val="VariableTok"/>
    <w:basedOn w:val="VerbatimChar"/>
    <w:rPr>
      <w:rFonts w:ascii="Consolas" w:hAnsi="Consolas"/>
      <w:color w:val="000000"/>
      <w:shd w:val="clear" w:color="auto" w:fill="F8F8F8"/>
    </w:rPr>
  </w:style>
  <w:style w:type="character" w:customStyle="1" w:styleId="ControlFlowTok">
    <w:name w:val="ControlFlowTok"/>
    <w:basedOn w:val="VerbatimChar"/>
    <w:rPr>
      <w:rFonts w:ascii="Consolas" w:hAnsi="Consolas"/>
      <w:b/>
      <w:color w:val="204A87"/>
      <w:shd w:val="clear" w:color="auto" w:fill="F8F8F8"/>
    </w:rPr>
  </w:style>
  <w:style w:type="character" w:customStyle="1" w:styleId="OperatorTok">
    <w:name w:val="OperatorTok"/>
    <w:basedOn w:val="VerbatimChar"/>
    <w:rPr>
      <w:rFonts w:ascii="Consolas" w:hAnsi="Consolas"/>
      <w:b/>
      <w:color w:val="CE5C00"/>
      <w:shd w:val="clear" w:color="auto" w:fill="F8F8F8"/>
    </w:rPr>
  </w:style>
  <w:style w:type="character" w:customStyle="1" w:styleId="BuiltInTok">
    <w:name w:val="BuiltInTok"/>
    <w:basedOn w:val="VerbatimChar"/>
    <w:rPr>
      <w:rFonts w:ascii="Consolas" w:hAnsi="Consolas"/>
      <w:shd w:val="clear" w:color="auto" w:fill="F8F8F8"/>
    </w:rPr>
  </w:style>
  <w:style w:type="character" w:customStyle="1" w:styleId="ExtensionTok">
    <w:name w:val="ExtensionTok"/>
    <w:basedOn w:val="VerbatimChar"/>
    <w:rPr>
      <w:rFonts w:ascii="Consolas" w:hAnsi="Consolas"/>
      <w:shd w:val="clear" w:color="auto" w:fill="F8F8F8"/>
    </w:rPr>
  </w:style>
  <w:style w:type="character" w:customStyle="1" w:styleId="PreprocessorTok">
    <w:name w:val="PreprocessorTok"/>
    <w:basedOn w:val="VerbatimChar"/>
    <w:rPr>
      <w:rFonts w:ascii="Consolas" w:hAnsi="Consolas"/>
      <w:i/>
      <w:color w:val="8F5902"/>
      <w:shd w:val="clear" w:color="auto" w:fill="F8F8F8"/>
    </w:rPr>
  </w:style>
  <w:style w:type="character" w:customStyle="1" w:styleId="AttributeTok">
    <w:name w:val="AttributeTok"/>
    <w:basedOn w:val="VerbatimChar"/>
    <w:rPr>
      <w:rFonts w:ascii="Consolas" w:hAnsi="Consolas"/>
      <w:color w:val="C4A000"/>
      <w:shd w:val="clear" w:color="auto" w:fill="F8F8F8"/>
    </w:rPr>
  </w:style>
  <w:style w:type="character" w:customStyle="1" w:styleId="RegionMarkerTok">
    <w:name w:val="RegionMarkerTok"/>
    <w:basedOn w:val="VerbatimChar"/>
    <w:rPr>
      <w:rFonts w:ascii="Consolas" w:hAnsi="Consolas"/>
      <w:shd w:val="clear" w:color="auto" w:fill="F8F8F8"/>
    </w:rPr>
  </w:style>
  <w:style w:type="character" w:customStyle="1" w:styleId="InformationTok">
    <w:name w:val="InformationTok"/>
    <w:basedOn w:val="VerbatimChar"/>
    <w:rPr>
      <w:rFonts w:ascii="Consolas" w:hAnsi="Consolas"/>
      <w:b/>
      <w:i/>
      <w:color w:val="8F5902"/>
      <w:shd w:val="clear" w:color="auto" w:fill="F8F8F8"/>
    </w:rPr>
  </w:style>
  <w:style w:type="character" w:customStyle="1" w:styleId="WarningTok">
    <w:name w:val="WarningTok"/>
    <w:basedOn w:val="VerbatimChar"/>
    <w:rPr>
      <w:rFonts w:ascii="Consolas" w:hAnsi="Consolas"/>
      <w:b/>
      <w:i/>
      <w:color w:val="8F5902"/>
      <w:shd w:val="clear" w:color="auto" w:fill="F8F8F8"/>
    </w:rPr>
  </w:style>
  <w:style w:type="character" w:customStyle="1" w:styleId="AlertTok">
    <w:name w:val="AlertTok"/>
    <w:basedOn w:val="VerbatimChar"/>
    <w:rPr>
      <w:rFonts w:ascii="Consolas" w:hAnsi="Consolas"/>
      <w:color w:val="EF2929"/>
      <w:shd w:val="clear" w:color="auto" w:fill="F8F8F8"/>
    </w:rPr>
  </w:style>
  <w:style w:type="character" w:customStyle="1" w:styleId="ErrorTok">
    <w:name w:val="ErrorTok"/>
    <w:basedOn w:val="VerbatimChar"/>
    <w:rPr>
      <w:rFonts w:ascii="Consolas" w:hAnsi="Consolas"/>
      <w:b/>
      <w:color w:val="A40000"/>
      <w:shd w:val="clear" w:color="auto" w:fill="F8F8F8"/>
    </w:rPr>
  </w:style>
  <w:style w:type="character" w:customStyle="1" w:styleId="NormalTok">
    <w:name w:val="NormalTok"/>
    <w:basedOn w:val="VerbatimChar"/>
    <w:rsid w:val="00955245"/>
    <w:rPr>
      <w:rFonts w:ascii="Consolas" w:hAnsi="Consolas"/>
      <w:bdr w:val="none" w:sz="0" w:space="0" w:color="auto"/>
      <w:shd w:val="clear" w:color="auto" w:fill="auto"/>
    </w:rPr>
  </w:style>
  <w:style w:type="paragraph" w:styleId="BalloonText">
    <w:name w:val="Balloon Text"/>
    <w:basedOn w:val="Normal"/>
    <w:link w:val="BalloonTextChar"/>
    <w:semiHidden/>
    <w:unhideWhenUsed/>
    <w:rsid w:val="003B744F"/>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3B744F"/>
    <w:rPr>
      <w:rFonts w:ascii="Times New Roman" w:hAnsi="Times New Roman" w:cs="Times New Roman"/>
      <w:sz w:val="18"/>
      <w:szCs w:val="18"/>
    </w:rPr>
  </w:style>
  <w:style w:type="table" w:styleId="TableGrid">
    <w:name w:val="Table Grid"/>
    <w:basedOn w:val="TableNormal"/>
    <w:rsid w:val="003B7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rsid w:val="003B744F"/>
  </w:style>
  <w:style w:type="paragraph" w:styleId="Revision">
    <w:name w:val="Revision"/>
    <w:hidden/>
    <w:semiHidden/>
    <w:rsid w:val="003F0D48"/>
    <w:pPr>
      <w:spacing w:after="0" w:line="240" w:lineRule="auto"/>
    </w:pPr>
  </w:style>
  <w:style w:type="character" w:customStyle="1" w:styleId="mjx-char">
    <w:name w:val="mjx-char"/>
    <w:basedOn w:val="DefaultParagraphFont"/>
    <w:rsid w:val="003F0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3647233">
      <w:bodyDiv w:val="1"/>
      <w:marLeft w:val="0"/>
      <w:marRight w:val="0"/>
      <w:marTop w:val="0"/>
      <w:marBottom w:val="0"/>
      <w:divBdr>
        <w:top w:val="none" w:sz="0" w:space="0" w:color="auto"/>
        <w:left w:val="none" w:sz="0" w:space="0" w:color="auto"/>
        <w:bottom w:val="none" w:sz="0" w:space="0" w:color="auto"/>
        <w:right w:val="none" w:sz="0" w:space="0" w:color="auto"/>
      </w:divBdr>
    </w:div>
    <w:div w:id="856777465">
      <w:bodyDiv w:val="1"/>
      <w:marLeft w:val="0"/>
      <w:marRight w:val="0"/>
      <w:marTop w:val="0"/>
      <w:marBottom w:val="0"/>
      <w:divBdr>
        <w:top w:val="none" w:sz="0" w:space="0" w:color="auto"/>
        <w:left w:val="none" w:sz="0" w:space="0" w:color="auto"/>
        <w:bottom w:val="none" w:sz="0" w:space="0" w:color="auto"/>
        <w:right w:val="none" w:sz="0" w:space="0" w:color="auto"/>
      </w:divBdr>
    </w:div>
    <w:div w:id="16683652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080/00401706.2013.872700" TargetMode="External"/><Relationship Id="rId39" Type="http://schemas.openxmlformats.org/officeDocument/2006/relationships/hyperlink" Target="https://CRAN.R-project.org/package=pls" TargetMode="External"/><Relationship Id="rId21" Type="http://schemas.openxmlformats.org/officeDocument/2006/relationships/hyperlink" Target="http://therimalaya.shinyapps.io/Comparison" TargetMode="External"/><Relationship Id="rId34" Type="http://schemas.openxmlformats.org/officeDocument/2006/relationships/hyperlink" Target="https://doi.org/10.1002/cem.904" TargetMode="External"/><Relationship Id="rId42" Type="http://schemas.openxmlformats.org/officeDocument/2006/relationships/hyperlink" Target="https://doi.org/10.1016/j.chemolab.2015.05.01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2307/4616159" TargetMode="External"/><Relationship Id="rId41" Type="http://schemas.openxmlformats.org/officeDocument/2006/relationships/hyperlink" Target="https://doi.org/10.1016/j.chemolab.2018.02.0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RAN.R-project.org/package=shiny" TargetMode="External"/><Relationship Id="rId32" Type="http://schemas.openxmlformats.org/officeDocument/2006/relationships/hyperlink" Target="https://doi.org/10.1111/j.1467-9469.2011.00770.x" TargetMode="External"/><Relationship Id="rId37" Type="http://schemas.openxmlformats.org/officeDocument/2006/relationships/hyperlink" Target="https://doi.org/10.1016/0169-7439(93)85002-X" TargetMode="External"/><Relationship Id="rId40" Type="http://schemas.openxmlformats.org/officeDocument/2006/relationships/hyperlink" Target="https://doi.org/10.1080/0361091850881245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016/0167-9473(95)00006-2" TargetMode="External"/><Relationship Id="rId28" Type="http://schemas.openxmlformats.org/officeDocument/2006/relationships/hyperlink" Target="https://doi.org/10.1093/biomet/asm038" TargetMode="External"/><Relationship Id="rId36" Type="http://schemas.openxmlformats.org/officeDocument/2006/relationships/hyperlink" Target="https://doi.org/10.2307/127009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80/01621459.1994.10476783"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therimalaya/03-prediction-comparison" TargetMode="External"/><Relationship Id="rId27" Type="http://schemas.openxmlformats.org/officeDocument/2006/relationships/hyperlink" Target="https://doi.org/10.1080/10618600.2015.1029577" TargetMode="External"/><Relationship Id="rId30" Type="http://schemas.openxmlformats.org/officeDocument/2006/relationships/hyperlink" Target="https://doi.org/10.1111/1467-9469.00174" TargetMode="External"/><Relationship Id="rId35" Type="http://schemas.openxmlformats.org/officeDocument/2006/relationships/hyperlink" Target="https://books.google.no/books?id=QBqlswEACAAJ"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11/rssb.12018" TargetMode="External"/><Relationship Id="rId33" Type="http://schemas.openxmlformats.org/officeDocument/2006/relationships/hyperlink" Target="https://doi.org/10.1002/cem.3044" TargetMode="External"/><Relationship Id="rId38" Type="http://schemas.openxmlformats.org/officeDocument/2006/relationships/hyperlink" Target="https://CRAN.R-project.org/package=Renvlp"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A627C-AE9B-AA48-90D7-3BD4928B5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25</Pages>
  <Words>6958</Words>
  <Characters>39664</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Comparison of Multi-response Prediction Methods</vt:lpstr>
    </vt:vector>
  </TitlesOfParts>
  <Company>Norwegian University of Life Sciences</Company>
  <LinksUpToDate>false</LinksUpToDate>
  <CharactersWithSpaces>46529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Comparison of Multi-response Prediction Methods</dc:title>
  <dc:creator/>
  <cp:lastModifiedBy>Raju Rimal</cp:lastModifiedBy>
  <cp:revision>20</cp:revision>
  <dcterms:created xsi:type="dcterms:W3CDTF">2019-03-05T08:43:00Z</dcterms:created>
  <dcterms:modified xsi:type="dcterms:W3CDTF">2019-03-05T15:28:00Z</dcterms:modified>
</cp:coreProperties>
</file>