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E61E" w14:textId="77777777" w:rsidR="00DA751F" w:rsidRDefault="000D5271">
      <w:pPr>
        <w:pStyle w:val="Title"/>
      </w:pPr>
      <w:r>
        <w:t>Trends in melanoma tumour thickness in Norway, 1983–2019</w:t>
      </w:r>
    </w:p>
    <w:p w14:paraId="7280D9B2" w14:textId="77777777" w:rsidR="00DA751F" w:rsidRDefault="000D5271">
      <w:pPr>
        <w:pStyle w:val="Subtitle"/>
      </w:pPr>
      <w:r>
        <w:t>Abstract for ANCR Symposium 2022</w:t>
      </w:r>
    </w:p>
    <w:p w14:paraId="542C88D5" w14:textId="77777777" w:rsidR="00DA751F" w:rsidRDefault="000D5271">
      <w:pPr>
        <w:pStyle w:val="Author"/>
      </w:pPr>
      <w:r>
        <w:t>Raju Rimal</w:t>
      </w:r>
      <w:r>
        <w:rPr>
          <w:vertAlign w:val="superscript"/>
        </w:rPr>
        <w:t>1,✉</w:t>
      </w:r>
      <w:r>
        <w:t>, Trude E Robsahm</w:t>
      </w:r>
      <w:r>
        <w:rPr>
          <w:vertAlign w:val="superscript"/>
        </w:rPr>
        <w:t>2</w:t>
      </w:r>
      <w:r>
        <w:t>, Adele Green</w:t>
      </w:r>
      <w:r>
        <w:rPr>
          <w:vertAlign w:val="superscript"/>
        </w:rPr>
        <w:t>3,4</w:t>
      </w:r>
      <w:r>
        <w:t>, Reza Ghiasvand</w:t>
      </w:r>
      <w:r>
        <w:rPr>
          <w:vertAlign w:val="superscript"/>
        </w:rPr>
        <w:t>2,5</w:t>
      </w:r>
      <w:r>
        <w:t>, Corina S Rueegg</w:t>
      </w:r>
      <w:r>
        <w:rPr>
          <w:vertAlign w:val="superscript"/>
        </w:rPr>
        <w:t>5</w:t>
      </w:r>
      <w:r>
        <w:t>, Assia Bassarova</w:t>
      </w:r>
      <w:r>
        <w:rPr>
          <w:vertAlign w:val="superscript"/>
        </w:rPr>
        <w:t>6</w:t>
      </w:r>
      <w:r>
        <w:t>, Petter Gjersvik</w:t>
      </w:r>
      <w:r>
        <w:rPr>
          <w:vertAlign w:val="superscript"/>
        </w:rPr>
        <w:t>7</w:t>
      </w:r>
      <w:r>
        <w:t>, Elisabete Weiderpass</w:t>
      </w:r>
      <w:r>
        <w:rPr>
          <w:vertAlign w:val="superscript"/>
        </w:rPr>
        <w:t>8</w:t>
      </w:r>
      <w:r>
        <w:t>, Odd O Aalen</w:t>
      </w:r>
      <w:r>
        <w:rPr>
          <w:vertAlign w:val="superscript"/>
        </w:rPr>
        <w:t>1</w:t>
      </w:r>
      <w:r>
        <w:t>, Bjørn Møller</w:t>
      </w:r>
      <w:r>
        <w:rPr>
          <w:vertAlign w:val="superscript"/>
        </w:rPr>
        <w:t>9</w:t>
      </w:r>
      <w:r>
        <w:t>, and Marit B Veierød</w:t>
      </w:r>
      <w:r>
        <w:rPr>
          <w:vertAlign w:val="superscript"/>
        </w:rPr>
        <w:t>1</w:t>
      </w:r>
    </w:p>
    <w:p w14:paraId="4B8A474B" w14:textId="77777777" w:rsidR="00DA751F" w:rsidRDefault="000D5271">
      <w:pPr>
        <w:pStyle w:val="Date"/>
      </w:pPr>
      <w:r>
        <w:t>Updated on: 25 May, 2022</w:t>
      </w:r>
    </w:p>
    <w:p w14:paraId="12DDE203" w14:textId="77777777" w:rsidR="00DA751F" w:rsidRDefault="000D5271">
      <w:pPr>
        <w:pStyle w:val="FirstParagraph"/>
      </w:pPr>
      <w:r>
        <w:rPr>
          <w:vertAlign w:val="superscript"/>
        </w:rPr>
        <w:t>1</w:t>
      </w:r>
      <w:r>
        <w:t xml:space="preserve"> Oslo Centre for Biostatistics and Epidemiology, Department of Biostatistics, Institute of Basic Medical Sciences, University of Oslo, Oslo, Norway</w:t>
      </w:r>
      <w:r>
        <w:br/>
      </w:r>
      <w:r>
        <w:rPr>
          <w:vertAlign w:val="superscript"/>
        </w:rPr>
        <w:t>2</w:t>
      </w:r>
      <w:r>
        <w:t xml:space="preserve"> Department of Research, Cancer Registry of Norway, Oslo, Norway</w:t>
      </w:r>
      <w:r>
        <w:br/>
      </w:r>
      <w:r>
        <w:rPr>
          <w:vertAlign w:val="superscript"/>
        </w:rPr>
        <w:t>3</w:t>
      </w:r>
      <w:r>
        <w:t xml:space="preserve"> Department of Population Health, QIMR Berghofer Medical Research Institute, Brisbane, Australia</w:t>
      </w:r>
      <w:r>
        <w:br/>
      </w:r>
      <w:r>
        <w:rPr>
          <w:vertAlign w:val="superscript"/>
        </w:rPr>
        <w:t>4</w:t>
      </w:r>
      <w:r>
        <w:t xml:space="preserve"> Cancer Research UK Manchester Institute, University of Manchester, Manchester, United Kingdom</w:t>
      </w:r>
      <w:r>
        <w:br/>
      </w:r>
      <w:r>
        <w:rPr>
          <w:vertAlign w:val="superscript"/>
        </w:rPr>
        <w:t>5</w:t>
      </w:r>
      <w:r>
        <w:t xml:space="preserve"> Oslo Centre for Biostatistics and Epidemiology, Oslo University Hospital, Oslo, Norway</w:t>
      </w:r>
      <w:r>
        <w:br/>
      </w:r>
      <w:r>
        <w:rPr>
          <w:vertAlign w:val="superscript"/>
        </w:rPr>
        <w:t>6</w:t>
      </w:r>
      <w:r>
        <w:t xml:space="preserve"> Department of Pathology, Oslo University Hospital–Ullevål, Oslo, Norway</w:t>
      </w:r>
      <w:r>
        <w:br/>
      </w:r>
      <w:r>
        <w:rPr>
          <w:vertAlign w:val="superscript"/>
        </w:rPr>
        <w:t>7</w:t>
      </w:r>
      <w:r>
        <w:t xml:space="preserve"> Institute of Clinical Medicine, University of Oslo, Oslo, Norway</w:t>
      </w:r>
      <w:r>
        <w:br/>
      </w:r>
      <w:r>
        <w:rPr>
          <w:vertAlign w:val="superscript"/>
        </w:rPr>
        <w:t>8</w:t>
      </w:r>
      <w:r>
        <w:t xml:space="preserve"> International Agency for Research on Cancer, Lyon, France</w:t>
      </w:r>
      <w:r>
        <w:br/>
      </w:r>
      <w:r>
        <w:rPr>
          <w:vertAlign w:val="superscript"/>
        </w:rPr>
        <w:t>9</w:t>
      </w:r>
      <w:r>
        <w:t xml:space="preserve"> Department of Registration, Cancer Registry of Norway, Oslo, Norway</w:t>
      </w:r>
    </w:p>
    <w:p w14:paraId="653457CB" w14:textId="77777777" w:rsidR="00DA751F" w:rsidRDefault="000D5271">
      <w:pPr>
        <w:pStyle w:val="BodyText"/>
      </w:pPr>
      <w:r>
        <w:rPr>
          <w:vertAlign w:val="superscript"/>
        </w:rPr>
        <w:t>✉</w:t>
      </w:r>
      <w:r>
        <w:t xml:space="preserve"> Correspondence: </w:t>
      </w:r>
      <w:hyperlink r:id="rId7">
        <w:r>
          <w:rPr>
            <w:rStyle w:val="Hyperlink"/>
          </w:rPr>
          <w:t>Raju Rimal &lt;</w:t>
        </w:r>
        <w:hyperlink r:id="rId8">
          <w:r>
            <w:rPr>
              <w:rStyle w:val="Hyperlink"/>
            </w:rPr>
            <w:t>raju.rimal@medisin.uio.no</w:t>
          </w:r>
        </w:hyperlink>
        <w:r>
          <w:rPr>
            <w:rStyle w:val="Hyperlink"/>
          </w:rPr>
          <w:t>&gt;</w:t>
        </w:r>
      </w:hyperlink>
    </w:p>
    <w:p w14:paraId="2418E442" w14:textId="77777777" w:rsidR="00DA751F" w:rsidRDefault="000D5271">
      <w:pPr>
        <w:pStyle w:val="BodyText"/>
      </w:pPr>
      <w:r>
        <w:rPr>
          <w:i/>
          <w:iCs/>
        </w:rPr>
        <w:t>Word count:</w:t>
      </w:r>
      <w:r>
        <w:t xml:space="preserve"> 298/250</w:t>
      </w:r>
    </w:p>
    <w:p w14:paraId="69F985D3" w14:textId="2E844425" w:rsidR="00DA751F" w:rsidRDefault="000D5271">
      <w:pPr>
        <w:pStyle w:val="Heading1"/>
      </w:pPr>
      <w:bookmarkStart w:id="0" w:name="abstract"/>
      <w:r>
        <w:t>Abstract</w:t>
      </w:r>
    </w:p>
    <w:p w14:paraId="6C2527C8" w14:textId="6383E324" w:rsidR="00D43399" w:rsidRDefault="00D43399" w:rsidP="00D43399">
      <w:pPr>
        <w:pStyle w:val="BodyText"/>
      </w:pPr>
      <w:r>
        <w:t>Tumour thickness at diagnosis is the most important prognostic factor for localized primary melanoma. Using thickness data (1980–2007) from the Cancer Registry of Norway and the Norwegian Melanoma Registry (2008–2019), we investigated trends in tumour thickness, overall, and in important subgroups, 1983–2019.</w:t>
      </w:r>
    </w:p>
    <w:p w14:paraId="45EA7636" w14:textId="43B5A769" w:rsidR="00D43399" w:rsidRDefault="00D43399" w:rsidP="00D43399">
      <w:pPr>
        <w:pStyle w:val="BodyText"/>
      </w:pPr>
      <w:r>
        <w:t>Thickness (mm) was categorized: T1 (≤1.0), T2 (1.0-2.0), T3 (&gt;2.0-4.0), and T4 (&gt;4.0). Missing was imputed using multiple</w:t>
      </w:r>
      <w:r w:rsidR="000D7231">
        <w:t>-</w:t>
      </w:r>
      <w:r>
        <w:t xml:space="preserve">imputation and the incidence rates age-standardized using the European standard population. Annual percentage change (APC) and average APC (AAPC) with 95% confidence intervals (CIs) were estimated. </w:t>
      </w:r>
    </w:p>
    <w:p w14:paraId="13A684D8" w14:textId="41979FA5" w:rsidR="00D43399" w:rsidRDefault="00D43399" w:rsidP="00D43399">
      <w:pPr>
        <w:pStyle w:val="BodyText"/>
      </w:pPr>
      <w:r>
        <w:t xml:space="preserve">Age-standardized melanoma incidence increased from 17.7 to 33.3 in women and 12.9 to 35.2 in men. Men were diagnosed with thicker melanomas than women. Largest increase was found </w:t>
      </w:r>
      <w:r>
        <w:lastRenderedPageBreak/>
        <w:t xml:space="preserve">for T1, AAPC (95% CI) 3.1 (2.7–3.5) in women and 4.5 (4.1–4.9) in men, followed by T2 (2.0 (1.6–2.5) and 2.9 (2.5–3.3), respectively) and T4 (0.9 (0.4–1.4) and 1.3 (0.9–1.7), respectively. A plateau was observed in T1 incidence in women (1990–2004) and men (1991–2003). In superficial spreading melanoma, a similar pattern was found for T1 overall. In nodular melanomas, T3 is dominating and has a fluctuating trend in women and an increasing trend that seems to stabilize in men. </w:t>
      </w:r>
      <w:r w:rsidR="0008079E">
        <w:t xml:space="preserve">In </w:t>
      </w:r>
      <w:r>
        <w:t>T4</w:t>
      </w:r>
      <w:r w:rsidR="0008079E">
        <w:t>,</w:t>
      </w:r>
      <w:r>
        <w:t xml:space="preserve"> an increasing trend is seen in women and a fluctuating trend in men.</w:t>
      </w:r>
    </w:p>
    <w:p w14:paraId="24D8D64A" w14:textId="60D45BCC" w:rsidR="00DA751F" w:rsidRDefault="00D43399" w:rsidP="000D7231">
      <w:pPr>
        <w:pStyle w:val="BodyText"/>
      </w:pPr>
      <w:r>
        <w:t xml:space="preserve">T1 melanomas had the largest increase in incidence. An increasing trend was also observed in thicker </w:t>
      </w:r>
      <w:proofErr w:type="spellStart"/>
      <w:r>
        <w:t>tumours</w:t>
      </w:r>
      <w:proofErr w:type="spellEnd"/>
      <w:r>
        <w:t>, suggesting that the rise in melanoma incidence is not only due to overdiagnosis/pathological practice.</w:t>
      </w:r>
      <w:bookmarkEnd w:id="0"/>
      <w:r w:rsidR="000D7231">
        <w:t xml:space="preserve"> </w:t>
      </w:r>
    </w:p>
    <w:sectPr w:rsidR="00DA751F">
      <w:footerReference w:type="even" r:id="rId9"/>
      <w:footerReference w:type="default" r:id="rId10"/>
      <w:type w:val="continuous"/>
      <w:pgSz w:w="11952" w:h="16848"/>
      <w:pgMar w:top="1800" w:right="720" w:bottom="1800" w:left="720" w:header="720" w:footer="720" w:gutter="72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3C0F" w14:textId="77777777" w:rsidR="002171AC" w:rsidRDefault="002171AC">
      <w:pPr>
        <w:spacing w:after="0" w:line="240" w:lineRule="auto"/>
      </w:pPr>
      <w:r>
        <w:separator/>
      </w:r>
    </w:p>
  </w:endnote>
  <w:endnote w:type="continuationSeparator" w:id="0">
    <w:p w14:paraId="7AAC4415" w14:textId="77777777" w:rsidR="002171AC" w:rsidRDefault="0021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6DE0918C" w14:textId="77777777" w:rsidR="00676DF8" w:rsidRDefault="000D5271"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3CA6A3" w14:textId="77777777" w:rsidR="00676DF8" w:rsidRDefault="002171AC"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453E7584" w14:textId="6ED48CD7" w:rsidR="00084E93" w:rsidRDefault="000D5271"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A08E4">
          <w:rPr>
            <w:rStyle w:val="PageNumber"/>
            <w:noProof/>
          </w:rPr>
          <w:t>1</w:t>
        </w:r>
        <w:r>
          <w:rPr>
            <w:rStyle w:val="PageNumber"/>
          </w:rPr>
          <w:fldChar w:fldCharType="end"/>
        </w:r>
      </w:p>
    </w:sdtContent>
  </w:sdt>
  <w:p w14:paraId="082F1010" w14:textId="77777777" w:rsidR="00676DF8" w:rsidRDefault="002171AC"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50C5" w14:textId="77777777" w:rsidR="002171AC" w:rsidRDefault="002171AC">
      <w:r>
        <w:separator/>
      </w:r>
    </w:p>
  </w:footnote>
  <w:footnote w:type="continuationSeparator" w:id="0">
    <w:p w14:paraId="33A98279" w14:textId="77777777" w:rsidR="002171AC" w:rsidRDefault="00217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502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09C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A4C0B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A54BB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E41C6A"/>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28473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3009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FC3C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8ADE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74CD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6CDC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C66022"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B898B7"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29487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8D2272"/>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9923636">
    <w:abstractNumId w:val="13"/>
  </w:num>
  <w:num w:numId="2" w16cid:durableId="17902224">
    <w:abstractNumId w:val="4"/>
  </w:num>
  <w:num w:numId="3" w16cid:durableId="1998217692">
    <w:abstractNumId w:val="5"/>
  </w:num>
  <w:num w:numId="4" w16cid:durableId="1691909412">
    <w:abstractNumId w:val="6"/>
  </w:num>
  <w:num w:numId="5" w16cid:durableId="10883178">
    <w:abstractNumId w:val="7"/>
  </w:num>
  <w:num w:numId="6" w16cid:durableId="1592277463">
    <w:abstractNumId w:val="9"/>
  </w:num>
  <w:num w:numId="7" w16cid:durableId="76829677">
    <w:abstractNumId w:val="0"/>
  </w:num>
  <w:num w:numId="8" w16cid:durableId="648022017">
    <w:abstractNumId w:val="1"/>
  </w:num>
  <w:num w:numId="9" w16cid:durableId="131407962">
    <w:abstractNumId w:val="2"/>
  </w:num>
  <w:num w:numId="10" w16cid:durableId="1947348116">
    <w:abstractNumId w:val="3"/>
  </w:num>
  <w:num w:numId="11" w16cid:durableId="704134804">
    <w:abstractNumId w:val="8"/>
  </w:num>
  <w:num w:numId="12" w16cid:durableId="558130081">
    <w:abstractNumId w:val="25"/>
  </w:num>
  <w:num w:numId="13" w16cid:durableId="286787322">
    <w:abstractNumId w:val="24"/>
  </w:num>
  <w:num w:numId="14" w16cid:durableId="111173150">
    <w:abstractNumId w:val="23"/>
  </w:num>
  <w:num w:numId="15" w16cid:durableId="112095498">
    <w:abstractNumId w:val="20"/>
  </w:num>
  <w:num w:numId="16" w16cid:durableId="937904158">
    <w:abstractNumId w:val="14"/>
  </w:num>
  <w:num w:numId="17" w16cid:durableId="1911772871">
    <w:abstractNumId w:val="15"/>
  </w:num>
  <w:num w:numId="18" w16cid:durableId="9988936">
    <w:abstractNumId w:val="27"/>
  </w:num>
  <w:num w:numId="19" w16cid:durableId="1613710092">
    <w:abstractNumId w:val="19"/>
  </w:num>
  <w:num w:numId="20" w16cid:durableId="270091072">
    <w:abstractNumId w:val="26"/>
  </w:num>
  <w:num w:numId="21" w16cid:durableId="1337882566">
    <w:abstractNumId w:val="12"/>
  </w:num>
  <w:num w:numId="22" w16cid:durableId="164825260">
    <w:abstractNumId w:val="16"/>
  </w:num>
  <w:num w:numId="23" w16cid:durableId="171383248">
    <w:abstractNumId w:val="18"/>
  </w:num>
  <w:num w:numId="24" w16cid:durableId="1443183984">
    <w:abstractNumId w:val="11"/>
  </w:num>
  <w:num w:numId="25" w16cid:durableId="284313887">
    <w:abstractNumId w:val="17"/>
  </w:num>
  <w:num w:numId="26" w16cid:durableId="1735273676">
    <w:abstractNumId w:val="10"/>
  </w:num>
  <w:num w:numId="27" w16cid:durableId="1099569930">
    <w:abstractNumId w:val="21"/>
  </w:num>
  <w:num w:numId="28" w16cid:durableId="1657220620">
    <w:abstractNumId w:val="22"/>
  </w:num>
  <w:num w:numId="29" w16cid:durableId="478116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1F"/>
    <w:rsid w:val="0008079E"/>
    <w:rsid w:val="000D5271"/>
    <w:rsid w:val="000D7231"/>
    <w:rsid w:val="000F576F"/>
    <w:rsid w:val="0014480A"/>
    <w:rsid w:val="0018654D"/>
    <w:rsid w:val="001B0AC6"/>
    <w:rsid w:val="002171AC"/>
    <w:rsid w:val="00417505"/>
    <w:rsid w:val="005B7117"/>
    <w:rsid w:val="005F3F2B"/>
    <w:rsid w:val="00684B2A"/>
    <w:rsid w:val="007349FD"/>
    <w:rsid w:val="00BA08E4"/>
    <w:rsid w:val="00BB3BE5"/>
    <w:rsid w:val="00BB5721"/>
    <w:rsid w:val="00C3769A"/>
    <w:rsid w:val="00D1214A"/>
    <w:rsid w:val="00D43399"/>
    <w:rsid w:val="00DA751F"/>
    <w:rsid w:val="00E4775A"/>
    <w:rsid w:val="00FF1C07"/>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112F"/>
  <w15:docId w15:val="{3FC2A20B-2214-4370-81BB-C29DBEE8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05913"/>
    <w:pPr>
      <w:keepNext/>
      <w:keepLines/>
      <w:spacing w:before="480" w:after="0"/>
      <w:outlineLvl w:val="0"/>
    </w:pPr>
    <w:rPr>
      <w:rFonts w:asciiTheme="majorHAnsi" w:eastAsiaTheme="majorEastAsia" w:hAnsiTheme="majorHAnsi" w:cstheme="majorBidi"/>
      <w:bCs/>
      <w:color w:val="000000" w:themeColor="text1"/>
      <w:sz w:val="36"/>
      <w:szCs w:val="32"/>
    </w:rPr>
  </w:style>
  <w:style w:type="paragraph" w:styleId="Heading2">
    <w:name w:val="heading 2"/>
    <w:basedOn w:val="Normal"/>
    <w:next w:val="BodyText"/>
    <w:uiPriority w:val="9"/>
    <w:unhideWhenUsed/>
    <w:qFormat/>
    <w:rsid w:val="00AB1342"/>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05913"/>
    <w:pPr>
      <w:keepNext/>
      <w:keepLines/>
      <w:spacing w:before="480" w:after="240"/>
      <w:jc w:val="center"/>
    </w:pPr>
    <w:rPr>
      <w:rFonts w:asciiTheme="majorHAnsi" w:eastAsiaTheme="majorEastAsia" w:hAnsiTheme="majorHAnsi" w:cstheme="majorBidi"/>
      <w:bCs/>
      <w:color w:val="000000" w:themeColor="text1"/>
      <w:sz w:val="48"/>
      <w:szCs w:val="36"/>
    </w:rPr>
  </w:style>
  <w:style w:type="paragraph" w:styleId="Subtitle">
    <w:name w:val="Subtitle"/>
    <w:basedOn w:val="Title"/>
    <w:next w:val="BodyText"/>
    <w:qFormat/>
    <w:rsid w:val="00B05913"/>
    <w:pPr>
      <w:spacing w:before="240"/>
    </w:pPr>
    <w:rPr>
      <w:sz w:val="28"/>
      <w:szCs w:val="30"/>
    </w:rPr>
  </w:style>
  <w:style w:type="paragraph" w:customStyle="1" w:styleId="Author">
    <w:name w:val="Author"/>
    <w:next w:val="BodyText"/>
    <w:qFormat/>
    <w:rsid w:val="00B05913"/>
    <w:pPr>
      <w:keepNext/>
      <w:keepLines/>
      <w:jc w:val="center"/>
    </w:pPr>
    <w:rPr>
      <w:sz w:val="21"/>
    </w:rPr>
  </w:style>
  <w:style w:type="paragraph" w:styleId="Date">
    <w:name w:val="Date"/>
    <w:next w:val="BodyText"/>
    <w:qFormat/>
    <w:rsid w:val="00B05913"/>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F5F5F5"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spacing w:before="240" w:line="259" w:lineRule="auto"/>
      <w:jc w:val="center"/>
      <w:outlineLvl w:val="9"/>
    </w:pPr>
    <w:rPr>
      <w:b/>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numbering" w:customStyle="1" w:styleId="CurrentList1">
    <w:name w:val="Current List1"/>
    <w:uiPriority w:val="99"/>
    <w:rsid w:val="004B540F"/>
    <w:pPr>
      <w:numPr>
        <w:numId w:val="27"/>
      </w:numPr>
    </w:pPr>
  </w:style>
  <w:style w:type="numbering" w:customStyle="1" w:styleId="CurrentList2">
    <w:name w:val="Current List2"/>
    <w:uiPriority w:val="99"/>
    <w:rsid w:val="00AB1342"/>
    <w:pPr>
      <w:numPr>
        <w:numId w:val="28"/>
      </w:numPr>
    </w:pPr>
  </w:style>
  <w:style w:type="character" w:styleId="CommentReference">
    <w:name w:val="annotation reference"/>
    <w:basedOn w:val="DefaultParagraphFont"/>
    <w:semiHidden/>
    <w:unhideWhenUsed/>
    <w:rsid w:val="00684B2A"/>
    <w:rPr>
      <w:sz w:val="16"/>
      <w:szCs w:val="16"/>
    </w:rPr>
  </w:style>
  <w:style w:type="paragraph" w:styleId="CommentText">
    <w:name w:val="annotation text"/>
    <w:basedOn w:val="Normal"/>
    <w:link w:val="CommentTextChar"/>
    <w:unhideWhenUsed/>
    <w:rsid w:val="00684B2A"/>
    <w:pPr>
      <w:spacing w:line="240" w:lineRule="auto"/>
    </w:pPr>
    <w:rPr>
      <w:sz w:val="20"/>
      <w:szCs w:val="20"/>
    </w:rPr>
  </w:style>
  <w:style w:type="character" w:customStyle="1" w:styleId="CommentTextChar">
    <w:name w:val="Comment Text Char"/>
    <w:basedOn w:val="DefaultParagraphFont"/>
    <w:link w:val="CommentText"/>
    <w:rsid w:val="00684B2A"/>
    <w:rPr>
      <w:sz w:val="20"/>
      <w:szCs w:val="20"/>
    </w:rPr>
  </w:style>
  <w:style w:type="paragraph" w:styleId="CommentSubject">
    <w:name w:val="annotation subject"/>
    <w:basedOn w:val="CommentText"/>
    <w:next w:val="CommentText"/>
    <w:link w:val="CommentSubjectChar"/>
    <w:semiHidden/>
    <w:unhideWhenUsed/>
    <w:rsid w:val="00684B2A"/>
    <w:rPr>
      <w:b/>
      <w:bCs/>
    </w:rPr>
  </w:style>
  <w:style w:type="character" w:customStyle="1" w:styleId="CommentSubjectChar">
    <w:name w:val="Comment Subject Char"/>
    <w:basedOn w:val="CommentTextChar"/>
    <w:link w:val="CommentSubject"/>
    <w:semiHidden/>
    <w:rsid w:val="00684B2A"/>
    <w:rPr>
      <w:b/>
      <w:bCs/>
      <w:sz w:val="20"/>
      <w:szCs w:val="20"/>
    </w:rPr>
  </w:style>
  <w:style w:type="paragraph" w:styleId="BalloonText">
    <w:name w:val="Balloon Text"/>
    <w:basedOn w:val="Normal"/>
    <w:link w:val="BalloonTextChar"/>
    <w:semiHidden/>
    <w:unhideWhenUsed/>
    <w:rsid w:val="00684B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4B2A"/>
    <w:rPr>
      <w:rFonts w:ascii="Segoe UI" w:hAnsi="Segoe UI" w:cs="Segoe UI"/>
      <w:sz w:val="18"/>
      <w:szCs w:val="18"/>
    </w:rPr>
  </w:style>
  <w:style w:type="paragraph" w:styleId="Revision">
    <w:name w:val="Revision"/>
    <w:hidden/>
    <w:semiHidden/>
    <w:rsid w:val="007349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u.rimal@medisin.uio.no" TargetMode="External"/><Relationship Id="rId3" Type="http://schemas.openxmlformats.org/officeDocument/2006/relationships/settings" Target="settings.xml"/><Relationship Id="rId7" Type="http://schemas.openxmlformats.org/officeDocument/2006/relationships/hyperlink" Target="mailto:raju.rimal@medisin.uio.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425</Words>
  <Characters>2426</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Trends in melanoma tumour thickness in Norway, 1983–2019</vt:lpstr>
      <vt:lpstr>Title</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melanoma tumour thickness in Norway, 1983–2019</dc:title>
  <dc:creator>Raju Rimal1,✉, Trude E Robsahm2, Adele Green3,4, Reza Ghiasvand2,5, Corina S Rueegg5, Assia Bassarova6, Petter Gjersvik7, Elisabete Weiderpass8, Odd O Aalen1, Bjørn Møller9, and Marit B Veierød1</dc:creator>
  <cp:keywords/>
  <cp:lastModifiedBy>Raju Rimal</cp:lastModifiedBy>
  <cp:revision>10</cp:revision>
  <dcterms:created xsi:type="dcterms:W3CDTF">2022-05-30T12:25:00Z</dcterms:created>
  <dcterms:modified xsi:type="dcterms:W3CDTF">2022-05-30T12:44:00Z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ate">
    <vt:lpwstr>Updated on: 25 May, 2022</vt:lpwstr>
  </property>
  <property fmtid="{D5CDD505-2E9C-101B-9397-08002B2CF9AE}" pid="4" name="fontfamily">
    <vt:lpwstr>libertinus</vt:lpwstr>
  </property>
  <property fmtid="{D5CDD505-2E9C-101B-9397-08002B2CF9AE}" pid="5" name="fontsize">
    <vt:lpwstr>11pt</vt:lpwstr>
  </property>
  <property fmtid="{D5CDD505-2E9C-101B-9397-08002B2CF9AE}" pid="6" name="geometry">
    <vt:lpwstr/>
  </property>
  <property fmtid="{D5CDD505-2E9C-101B-9397-08002B2CF9AE}" pid="7" name="header_include">
    <vt:lpwstr/>
  </property>
  <property fmtid="{D5CDD505-2E9C-101B-9397-08002B2CF9AE}" pid="8" name="linestretch">
    <vt:lpwstr>1.25</vt:lpwstr>
  </property>
  <property fmtid="{D5CDD505-2E9C-101B-9397-08002B2CF9AE}" pid="9" name="output">
    <vt:lpwstr/>
  </property>
  <property fmtid="{D5CDD505-2E9C-101B-9397-08002B2CF9AE}" pid="10" name="papersize">
    <vt:lpwstr>A4</vt:lpwstr>
  </property>
  <property fmtid="{D5CDD505-2E9C-101B-9397-08002B2CF9AE}" pid="11" name="subtitle">
    <vt:lpwstr>Abstract for ANCR Symposium 2022</vt:lpwstr>
  </property>
  <property fmtid="{D5CDD505-2E9C-101B-9397-08002B2CF9AE}" pid="12" name="MSIP_Label_706b8c87-4f36-4ff6-b0f6-f2db90727c21_Enabled">
    <vt:lpwstr>true</vt:lpwstr>
  </property>
  <property fmtid="{D5CDD505-2E9C-101B-9397-08002B2CF9AE}" pid="13" name="MSIP_Label_706b8c87-4f36-4ff6-b0f6-f2db90727c21_SetDate">
    <vt:lpwstr>2022-05-27T08:48:38Z</vt:lpwstr>
  </property>
  <property fmtid="{D5CDD505-2E9C-101B-9397-08002B2CF9AE}" pid="14" name="MSIP_Label_706b8c87-4f36-4ff6-b0f6-f2db90727c21_Method">
    <vt:lpwstr>Privileged</vt:lpwstr>
  </property>
  <property fmtid="{D5CDD505-2E9C-101B-9397-08002B2CF9AE}" pid="15" name="MSIP_Label_706b8c87-4f36-4ff6-b0f6-f2db90727c21_Name">
    <vt:lpwstr>Hemmelig</vt:lpwstr>
  </property>
  <property fmtid="{D5CDD505-2E9C-101B-9397-08002B2CF9AE}" pid="16" name="MSIP_Label_706b8c87-4f36-4ff6-b0f6-f2db90727c21_SiteId">
    <vt:lpwstr>974bec44-9bad-4fdb-8e88-d3a1452197c8</vt:lpwstr>
  </property>
  <property fmtid="{D5CDD505-2E9C-101B-9397-08002B2CF9AE}" pid="17" name="MSIP_Label_706b8c87-4f36-4ff6-b0f6-f2db90727c21_ActionId">
    <vt:lpwstr>7becd6a1-9eec-4bdf-90cd-079281dc3770</vt:lpwstr>
  </property>
  <property fmtid="{D5CDD505-2E9C-101B-9397-08002B2CF9AE}" pid="18" name="MSIP_Label_706b8c87-4f36-4ff6-b0f6-f2db90727c21_ContentBits">
    <vt:lpwstr>0</vt:lpwstr>
  </property>
</Properties>
</file>