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Tenth</w:t>
      </w:r>
      <w:r>
        <w:t xml:space="preserve"> </w:t>
      </w:r>
      <w:r>
        <w:t xml:space="preserve">World</w:t>
      </w:r>
      <w:r>
        <w:t xml:space="preserve"> </w:t>
      </w:r>
      <w:r>
        <w:t xml:space="preserve">Congress</w:t>
      </w:r>
      <w:r>
        <w:t xml:space="preserve"> </w:t>
      </w:r>
      <w:r>
        <w:t xml:space="preserve">of</w:t>
      </w:r>
      <w:r>
        <w:t xml:space="preserve"> </w:t>
      </w:r>
      <w:r>
        <w:t xml:space="preserve">Melanoma</w:t>
      </w:r>
      <w:r>
        <w:t xml:space="preserve"> </w:t>
      </w:r>
      <w:r>
        <w:t xml:space="preserve">in</w:t>
      </w:r>
      <w:r>
        <w:t xml:space="preserve"> </w:t>
      </w:r>
      <w:r>
        <w:t xml:space="preserve">Conjuction</w:t>
      </w:r>
      <w:r>
        <w:t xml:space="preserve"> </w:t>
      </w:r>
      <w:r>
        <w:t xml:space="preserve">with</w:t>
      </w:r>
      <w:r>
        <w:t xml:space="preserve"> </w:t>
      </w:r>
      <w:r>
        <w:t xml:space="preserve">17th</w:t>
      </w:r>
      <w:r>
        <w:t xml:space="preserve"> </w:t>
      </w:r>
      <w:r>
        <w:t xml:space="preserve">EADO</w:t>
      </w:r>
      <w:r>
        <w:t xml:space="preserve"> </w:t>
      </w:r>
      <w:r>
        <w:t xml:space="preserve">Congress</w:t>
      </w:r>
    </w:p>
    <w:p>
      <w:pPr>
        <w:pStyle w:val="Subtitle"/>
      </w:pPr>
      <w:r>
        <w:t xml:space="preserve">April</w:t>
      </w:r>
      <w:r>
        <w:t xml:space="preserve"> </w:t>
      </w:r>
      <w:r>
        <w:t xml:space="preserve">15-17,</w:t>
      </w:r>
      <w:r>
        <w:t xml:space="preserve"> </w:t>
      </w:r>
      <w:r>
        <w:t xml:space="preserve">2021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Long-term trends in melanoma tumour thickness in Norway</w:t>
      </w:r>
    </w:p>
    <w:p>
      <w:pPr>
        <w:pStyle w:val="BodyText"/>
      </w:pPr>
      <w:r>
        <w:rPr>
          <w:bCs/>
          <w:b/>
        </w:rPr>
        <w:t xml:space="preserve">Authors:</w:t>
      </w:r>
      <w:r>
        <w:t xml:space="preserve"> </w:t>
      </w:r>
      <w:r>
        <w:t xml:space="preserve">Raju Rimal</w:t>
      </w:r>
      <w:r>
        <w:rPr>
          <w:vertAlign w:val="superscript"/>
        </w:rPr>
        <w:t xml:space="preserve">1</w:t>
      </w:r>
      <w:r>
        <w:t xml:space="preserve">, Trude E Robsahm</w:t>
      </w:r>
      <w:r>
        <w:rPr>
          <w:vertAlign w:val="superscript"/>
        </w:rPr>
        <w:t xml:space="preserve">2</w:t>
      </w:r>
      <w:r>
        <w:t xml:space="preserve">, Adele Green</w:t>
      </w:r>
      <w:r>
        <w:rPr>
          <w:vertAlign w:val="superscript"/>
        </w:rPr>
        <w:t xml:space="preserve">3,4</w:t>
      </w:r>
      <w:r>
        <w:t xml:space="preserve">, Reza Ghiasvand</w:t>
      </w:r>
      <w:r>
        <w:rPr>
          <w:vertAlign w:val="superscript"/>
        </w:rPr>
        <w:t xml:space="preserve">5</w:t>
      </w:r>
      <w:r>
        <w:t xml:space="preserve">, Corina S Rueegg</w:t>
      </w:r>
      <w:r>
        <w:rPr>
          <w:vertAlign w:val="superscript"/>
        </w:rPr>
        <w:t xml:space="preserve">5</w:t>
      </w:r>
      <w:r>
        <w:t xml:space="preserve">, Assia Bassarova</w:t>
      </w:r>
      <w:r>
        <w:rPr>
          <w:vertAlign w:val="superscript"/>
        </w:rPr>
        <w:t xml:space="preserve">6</w:t>
      </w:r>
      <w:r>
        <w:t xml:space="preserve">, Petter Gjersvik</w:t>
      </w:r>
      <w:r>
        <w:rPr>
          <w:vertAlign w:val="superscript"/>
        </w:rPr>
        <w:t xml:space="preserve">7</w:t>
      </w:r>
      <w:r>
        <w:t xml:space="preserve">, Elisabete Weiderpass</w:t>
      </w:r>
      <w:r>
        <w:rPr>
          <w:vertAlign w:val="superscript"/>
        </w:rPr>
        <w:t xml:space="preserve">8</w:t>
      </w:r>
      <w:r>
        <w:t xml:space="preserve">, Odd O Aalen</w:t>
      </w:r>
      <w:r>
        <w:rPr>
          <w:vertAlign w:val="superscript"/>
        </w:rPr>
        <w:t xml:space="preserve">1</w:t>
      </w:r>
      <w:r>
        <w:t xml:space="preserve">, Bjørn Møller</w:t>
      </w:r>
      <w:r>
        <w:rPr>
          <w:vertAlign w:val="superscript"/>
        </w:rPr>
        <w:t xml:space="preserve">9</w:t>
      </w:r>
      <w:r>
        <w:t xml:space="preserve">, Marit B Veierød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bCs/>
          <w:b/>
        </w:rPr>
        <w:t xml:space="preserve">Affiliations: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Oslo Centre for Biostatistics and Epidemiology, Department of Biostatistics, Institute of Basic Medical Sciences, University of Oslo, Oslo, Norway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Department of Research, Cancer Registry of Norway, Oslo, Norway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Department of Population Health, QIMR Berghofer Medical Research Institute, Brisbane, Australia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Cancer Research UK Manchester Institute, University of Manchester, Manchester, United Kingdom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Oslo Centre for Biostatistics and Epidemiology, Oslo University Hospital, Oslo, Norway</w:t>
      </w:r>
    </w:p>
    <w:p>
      <w:pPr>
        <w:pStyle w:val="BodyText"/>
      </w:pPr>
      <w:r>
        <w:rPr>
          <w:vertAlign w:val="superscript"/>
        </w:rPr>
        <w:t xml:space="preserve">6</w:t>
      </w:r>
      <w:r>
        <w:t xml:space="preserve"> </w:t>
      </w:r>
      <w:r>
        <w:t xml:space="preserve">Department of Pathology, Oslo University Hospital – Ullevål, Oslo, Norway</w:t>
      </w:r>
    </w:p>
    <w:p>
      <w:pPr>
        <w:pStyle w:val="BodyText"/>
      </w:pPr>
      <w:r>
        <w:rPr>
          <w:vertAlign w:val="superscript"/>
        </w:rPr>
        <w:t xml:space="preserve">7</w:t>
      </w:r>
      <w:r>
        <w:t xml:space="preserve"> </w:t>
      </w:r>
      <w:r>
        <w:t xml:space="preserve">Institute of Clinical Medicine, University of Oslo, Oslo, Norway</w:t>
      </w:r>
    </w:p>
    <w:p>
      <w:pPr>
        <w:pStyle w:val="BodyText"/>
      </w:pPr>
      <w:r>
        <w:rPr>
          <w:vertAlign w:val="superscript"/>
        </w:rPr>
        <w:t xml:space="preserve">8</w:t>
      </w:r>
      <w:r>
        <w:t xml:space="preserve"> </w:t>
      </w:r>
      <w:r>
        <w:t xml:space="preserve">International Agency for Research on Cancer, Lyon, France</w:t>
      </w:r>
    </w:p>
    <w:p>
      <w:pPr>
        <w:pStyle w:val="BodyText"/>
      </w:pPr>
      <w:r>
        <w:rPr>
          <w:vertAlign w:val="superscript"/>
        </w:rPr>
        <w:t xml:space="preserve">9</w:t>
      </w:r>
      <w:r>
        <w:t xml:space="preserve"> </w:t>
      </w:r>
      <w:r>
        <w:t xml:space="preserve">Department of Registration, Cancer Registry of Norway, Oslo, Norway</w:t>
      </w:r>
    </w:p>
    <w:p>
      <w:pPr>
        <w:pStyle w:val="BodyText"/>
      </w:pPr>
      <w:r>
        <w:rPr>
          <w:bCs/>
          <w:b/>
        </w:rPr>
        <w:t xml:space="preserve">Categories:</w:t>
      </w:r>
      <w:r>
        <w:t xml:space="preserve"> </w:t>
      </w:r>
      <w:r>
        <w:t xml:space="preserve">Melanoma</w:t>
      </w:r>
    </w:p>
    <w:p>
      <w:pPr>
        <w:pStyle w:val="BodyText"/>
      </w:pPr>
      <w:r>
        <w:rPr>
          <w:bCs/>
          <w:b/>
        </w:rPr>
        <w:t xml:space="preserve">Topics:</w:t>
      </w:r>
      <w:r>
        <w:t xml:space="preserve"> </w:t>
      </w:r>
      <w:r>
        <w:t xml:space="preserve">Epidemiology</w:t>
      </w:r>
    </w:p>
    <w:p>
      <w:pPr>
        <w:pStyle w:val="BodyText"/>
      </w:pPr>
      <w:r>
        <w:rPr>
          <w:bCs/>
          <w:b/>
        </w:rPr>
        <w:t xml:space="preserve">Preference:</w:t>
      </w:r>
      <w:r>
        <w:t xml:space="preserve"> </w:t>
      </w:r>
      <w:r>
        <w:t xml:space="preserve">Poster Presentation</w:t>
      </w:r>
    </w:p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Norway has the second-highest mortality rate of cutaneous melanoma worldwide and ranks fifth in incidence. Tumour (Breslow) thickness at diagnosis is the primary determinant of the T category in the tumour, nodes, metastasis staging system, and the most important prognostic factor for survival after localized melanoma. This ongoing study investigates long-term trends in tumour thickness, and the corresponding T categories, overall and in important subgroups, in a nationwide case series over a 40-year time period.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The population-based Cancer Registry of Norway (CRN) provided all first primary invasive melanoma cases for 1980-2019. Tumour thickness was available from the Norwegian Melanoma Registry (within the CRN) for all cases diagnosed in 2008-2019 and was manually extracted from the paper notifications archived in the CRN for the cases diagnosed in 1980-2007. The dataset consists of 47,439 morphologically verified first primary invasive melanoma cases. Covariates include sex, age, residential geographical region, anatomic site, histopathological subtype, clinical stage, and ulceration.</w:t>
      </w:r>
    </w:p>
    <w:p>
      <w:pPr>
        <w:pStyle w:val="BodyText"/>
      </w:pPr>
      <w:r>
        <w:t xml:space="preserve">Descriptive summaries are presented as frequencies (numbers, %) and medians with interquartile ranges (IQR).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In both men and women, median age at diagnosis increased from 1980-2000 to 2008-2019 (Table 1). Women were diagnosed at a thinner stage than men. In men, median (IQR) tumour thickness decreased from 1.4 mm (0.75–3) in 1980-1999 to 1 mm (0.6–2.3) in 2008-2019, and in women from 1 mm (0.6–2) to 0.9 mm (0.5–1.8).</w:t>
      </w:r>
    </w:p>
    <w:p>
      <w:pPr>
        <w:pStyle w:val="BodyText"/>
      </w:pPr>
      <w:r>
        <w:t xml:space="preserve">Tumour thickness was missing in the pathology reports for more than 25% of the cases until 1990. Reporting of ulceration started in 2000, but with a large proportion of missing values. After the Norwegian Melanoma Registry was established in 2008, the proportions of missing ulceration decreased dramatically.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Characteristics of Norwegian melanoma cases, 1980-2019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Male</w:t>
            </w:r>
          </w:p>
        </w:tc>
        <w:tc>
          <w:tcPr>
            <w:gridSpan w:val="3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Female</w:t>
            </w:r>
          </w:p>
        </w:tc>
      </w:tr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1980-1999</w:t>
              <w:br/>
              <w:t xml:space="preserve">N = 7293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2000-2007</w:t>
              <w:br/>
              <w:t xml:space="preserve">N = 4149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2008-2019</w:t>
              <w:br/>
              <w:t xml:space="preserve">N = 11475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1980-1999</w:t>
              <w:br/>
              <w:t xml:space="preserve">N = 8627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2000-2007</w:t>
              <w:br/>
              <w:t xml:space="preserve">N = 4631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2008-2019</w:t>
              <w:br/>
              <w:t xml:space="preserve">N = 11264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Age at diagnosis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59 (46 – 70)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 (52 – 75)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 (56 – 76)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56 (42 – 71)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 (46 – 75)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 (50 – 75)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Age group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≤20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21-40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1,119 (15)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355 (8.6)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665 (5.8)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1,862 (22)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721 (16)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1,209 (11)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41-60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2,706 (37)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1,435 (35)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3,226 (28)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2,917 (34)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1,603 (35)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3,769 (34)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61-85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3,240 (45)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2,143 (52)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6,779 (59)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3,387 (40)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1,963 (43)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5,246 (47)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&gt;85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174 (2.4)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195 (4.7)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782 (6.8)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317 (3.7)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314 (6.8)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992 (8.8)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Anatomic 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Head and neck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1,109 (16)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641 (17)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1,679 (16)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1,222 (15)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620 (14)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1,300 (12)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extremities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658 (9.7)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407 (10)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1,212 (11)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1,320 (16)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769 (17)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1,856 (17)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Trunk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4,062 (60)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2,277 (59)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6,469 (60)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2,360 (29)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1,427 (32)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3,797 (35)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extremities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927 (14)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526 (14)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1,396 (13)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3,220 (39)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1,556 (35)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3,670 (34)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62 (0.9)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 (0.7)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75 (0.7)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125 (1.5)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 (1.4)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194 (1.8)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447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Histopathological subtype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Superficial spreading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3,769 (53)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1,969 (48)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6,051 (54)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4,827 (57)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2,482 (54)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6,493 (58)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Nodular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1,509 (21)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959 (23)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2,143 (19)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1,408 (17)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845 (19)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1,746 (16)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Lentigo maligna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226 (3.2)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107 (2.6)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363 (3.2)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373 (4.4)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(3.3)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423 (3.8)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Acral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 (0.4)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 (0.5)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 (0.5)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 (0.5)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 (0.8)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72 (0.6)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1,643 (23)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1,028 (25)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2,696 (24)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1,824 (22)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1,052 (23)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2,407 (22)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Clinical stage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Local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5,853 (88)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2,230 (84)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9,302 (88)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7,363 (93)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2,677 (91)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9,629 (92)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Regional metastasis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328 (5.0)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173 (6.5)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852 (8.1)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 (3.2)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123 (4.2)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560 (5.4)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Distant metastasis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440 (6.6)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264 (9.9)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425 (4.0)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286 (3.6)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158 (5.3)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246 (2.4)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Ulceration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Absent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219 (100)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526 (44)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8,726 (81)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243 (100)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641 (57)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9,264 (86)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Present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668 (56)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1,984 (19)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488 (43)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1,465 (14)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7,074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2,955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8,384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3,502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Tumour thickness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1.40 (0.75 – 3.00)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1.30 (0.70 – 3.00)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1.00 (0.60 – 2.30)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1.00 (0.60 – 2.00)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1.00 (0.60 – 2.00)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0.90 (0.50 – 1.80)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2,559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764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 category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2,228 (43)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1,496 (42)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5,269 (50)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3,179 (52)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2,106 (52)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6,092 (58)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1,180 (23)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847 (24)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2,265 (22)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1,388 (23)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955 (24)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2,221 (21)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1,029 (20)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706 (20)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1,646 (16)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948 (16)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563 (14)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1,222 (12)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740 (14)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484 (14)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1,286 (12)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553 (9.1)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405 (10)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965 (9.2)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Median (IQR); n (%)</w:t>
            </w:r>
          </w:p>
        </w:tc>
      </w:tr>
    </w:tbl>
    <w:p>
      <w:pPr>
        <w:pStyle w:val="BodyText"/>
      </w:pPr>
      <w:r>
        <w:t xml:space="preserve">Analysis of incidence rates in relation to tumour</w:t>
      </w:r>
      <w:r>
        <w:t xml:space="preserve"> </w:t>
      </w:r>
      <w:r>
        <w:t xml:space="preserve">thickness is in the process, and will be presented at the conference.</w:t>
      </w:r>
    </w:p>
    <w:bookmarkEnd w:id="22"/>
    <w:bookmarkStart w:id="2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This unique time series of national melanoma</w:t>
      </w:r>
      <w:r>
        <w:t xml:space="preserve"> </w:t>
      </w:r>
      <w:r>
        <w:t xml:space="preserve">tumour thickness data will identify trends in tumour thickness, overall and in</w:t>
      </w:r>
      <w:r>
        <w:t xml:space="preserve"> </w:t>
      </w:r>
      <w:r>
        <w:t xml:space="preserve">subgroups of the population, as well as identify potential effects of changing exposure</w:t>
      </w:r>
      <w:r>
        <w:t xml:space="preserve"> </w:t>
      </w:r>
      <w:r>
        <w:t xml:space="preserve">patterns and earlier detection.</w:t>
      </w:r>
    </w:p>
    <w:bookmarkEnd w:id="23"/>
    <w:sectPr w:rsidR="0052305C" w:rsidRPr="00C90BD4" w:rsidSect="009045C8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17C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C28E7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16E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02A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F4A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561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8B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BCE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6AF1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8AC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D6D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E61C73"/>
    <w:multiLevelType w:val="multilevel"/>
    <w:tmpl w:val="400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75992"/>
    <w:multiLevelType w:val="hybridMultilevel"/>
    <w:tmpl w:val="999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A146A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3D837CF5"/>
    <w:multiLevelType w:val="hybridMultilevel"/>
    <w:tmpl w:val="29BED1EA"/>
    <w:lvl w:ilvl="0" w:tplc="E0DE5E42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D5D32"/>
    <w:multiLevelType w:val="hybridMultilevel"/>
    <w:tmpl w:val="A3A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70974"/>
    <w:multiLevelType w:val="multilevel"/>
    <w:tmpl w:val="91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1"/>
  </w:num>
  <w:num w:numId="5">
    <w:abstractNumId w:val="16"/>
  </w:num>
  <w:num w:numId="6">
    <w:abstractNumId w:val="15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82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844D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4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4D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4D0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531B4F"/>
    <w:pPr>
      <w:spacing w:after="0"/>
    </w:pPr>
    <w:rPr>
      <w:sz w:val="22"/>
    </w:rPr>
  </w:style>
  <w:style w:type="paragraph" w:styleId="NormalWeb">
    <w:name w:val="Normal (Web)"/>
    <w:basedOn w:val="Normal"/>
    <w:semiHidden/>
    <w:unhideWhenUsed/>
    <w:rsid w:val="009045C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rsid w:val="00720CBF"/>
    <w:pPr>
      <w:ind w:left="720"/>
      <w:contextualSpacing/>
    </w:pPr>
  </w:style>
  <w:style w:type="character" w:customStyle="1" w:styleId="Cross-Referenced">
    <w:name w:val="Cross-Referenced"/>
    <w:basedOn w:val="DefaultParagraphFont"/>
    <w:uiPriority w:val="1"/>
    <w:qFormat/>
    <w:rsid w:val="00E0020E"/>
    <w:rPr>
      <w:vertAlign w:val="superscript"/>
      <w:lang w:val="en-GB"/>
    </w:rPr>
  </w:style>
  <w:style w:type="character" w:customStyle="1" w:styleId="BodyTextChar">
    <w:name w:val="Body Text Char"/>
    <w:basedOn w:val="DefaultParagraphFont"/>
    <w:link w:val="BodyText"/>
    <w:rsid w:val="00E002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Tenth World Congress of Melanoma in Conjuction with 17th EADO Congress</vt:lpstr>
    </vt:vector>
  </TitlesOfParts>
  <Company>University of Oslo, Institute of Basic Medicine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Tenth World Congress of Melanoma in Conjuction with 17th EADO Congress</dc:title>
  <dc:creator/>
  <cp:keywords/>
  <dcterms:created xsi:type="dcterms:W3CDTF">2021-03-05T21:15:26Z</dcterms:created>
  <dcterms:modified xsi:type="dcterms:W3CDTF">2021-03-05T22:15:26Z</dcterms:modified>
  <cp:lastModifiedBy>therimalaya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March 2021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April 15-17, 2021</vt:lpwstr>
  </property>
</Properties>
</file>