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Related</w:t>
      </w:r>
      <w:r>
        <w:t xml:space="preserve"> </w:t>
      </w:r>
      <w:r>
        <w:t xml:space="preserve">Table</w:t>
      </w:r>
    </w:p>
    <w:p>
      <w:pPr>
        <w:pStyle w:val="Author"/>
      </w:pPr>
      <w:r>
        <w:t xml:space="preserve">Raju</w:t>
      </w:r>
      <w:r>
        <w:t xml:space="preserve"> </w:t>
      </w:r>
      <w:r>
        <w:t xml:space="preserve">Rimal</w:t>
      </w:r>
    </w:p>
    <w:p>
      <w:pPr>
        <w:pStyle w:val="Date"/>
      </w:pPr>
      <w:r>
        <w:t xml:space="preserve">3/2/2021</w:t>
      </w:r>
    </w:p>
    <w:bookmarkStart w:id="20" w:name="summary-table"/>
    <w:p>
      <w:pPr>
        <w:pStyle w:val="Heading1"/>
      </w:pPr>
      <w:r>
        <w:t xml:space="preserve">Summary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918"/>
        <w:gridCol w:w="2545"/>
        <w:gridCol w:w="2545"/>
        <w:gridCol w:w="2667"/>
        <w:gridCol w:w="2545"/>
        <w:gridCol w:w="2545"/>
        <w:gridCol w:w="2667"/>
      </w:tblGrid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Female</w:t>
            </w:r>
          </w:p>
        </w:tc>
      </w:tr>
      <w:tr>
        <w:trPr>
          <w:cantSplit/>
          <w:trHeight w:val="44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1980-1999, N = 7,293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2000-2007, N = 4,149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2008-2019, N = 11,475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1980-1999, N = 8,627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2000-2007, N = 4,631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2008-2019, N = 11,264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111111"/>
              </w:rPr>
              <w:t xml:space="preserve">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Age at diagnosis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59 (46 – 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63 (52 – 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67 (56 – 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56 (42 – 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60 (46 – 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63 (50 – 75)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Age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≤20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 (0)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21-40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1,119 (15)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355 (8.6)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665 (5.8)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1,862 (22)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721 (16)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1,209 (11)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41-60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2,706 (37)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1,435 (35)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3,226 (28)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2,917 (34)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1,603 (35)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3,769 (34)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61-85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3,240 (45)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2,143 (52)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6,779 (59)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3,387 (40)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1,963 (43)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5,246 (47)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&gt;85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174 (2.4)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195 (4.7)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782 (6.8)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317 (3.7)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314 (6.8)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992 (8.8)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Unspecified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48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Anatomic 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Head and neck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1,109 (16)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641 (17)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1,679 (16)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1,222 (15)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620 (14)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1,300 (12)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Upper extremities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658 (9.7)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407 (10)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1,212 (11)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1,320 (16)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769 (17)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1,856 (17)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Trunk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4,062 (60)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2,277 (59)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6,469 (60)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2,360 (29)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1,427 (32)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3,797 (35)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Lower extremities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927 (14)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526 (14)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1,396 (13)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3,220 (39)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1,556 (35)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3,670 (34)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62 (0.9)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27 (0.7)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75 (0.7)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125 (1.5)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60 (1.4)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194 (1.8)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Unspecified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447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Histopathological subtype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Superficial spreading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3,769 (53)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1,969 (48)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6,051 (54)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4,827 (57)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2,482 (54)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6,493 (58)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Nodular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1,509 (21)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959 (23)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2,143 (19)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1,408 (17)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845 (19)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1,746 (16)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Lentigo maligna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226 (3.2)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107 (2.6)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363 (3.2)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373 (4.4)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150 (3.3)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423 (3.8)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Acral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26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21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53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35 (0.8)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72 (0.6)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1,643 (23)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1,028 (25)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2,696 (24)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1,824 (22)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1,052 (23)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2,407 (22)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Unspecified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Clinical stage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Local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5,853 (88)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2,230 (84)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9,302 (88)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7,363 (93)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2,677 (91)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9,629 (92)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Regional metastasis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328 (5.0)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173 (6.5)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852 (8.1)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251 (3.2)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123 (4.2)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560 (5.4)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Distant metastasis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440 (6.6)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264 (9.9)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425 (4.0)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286 (3.6)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158 (5.3)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246 (2.4)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Unspecified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1,673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829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Ulceration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Absent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219 (100)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526 (44)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8,726 (81)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243 (100)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641 (57)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9,264 (86)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Present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668 (56)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1,984 (19)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488 (43)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1,465 (14)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Unspecified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7,074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2,955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8,384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3,502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535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Tumour thickness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1.40 (0.75 – 3.00)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1.30 (0.70 – 3.00)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1.00 (0.60 – 2.30)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1.00 (0.60 – 2.00)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1.00 (0.60 – 2.00)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0.90 (0.50 – 1.80)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Unspecified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2,559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764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T category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2,228 (43)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1,496 (42)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5,269 (50)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3,179 (52)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2,106 (52)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6,092 (58)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1,180 (23)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847 (24)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2,265 (22)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1,388 (23)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955 (24)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2,221 (21)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1,029 (20)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706 (20)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1,646 (16)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948 (16)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563 (14)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1,222 (12)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740 (14)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484 (14)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1,286 (12)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553 (9.1)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405 (10)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965 (9.2)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Unspecified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2,116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1,009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2,559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764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Median (IQR); n (%)</w:t>
            </w:r>
          </w:p>
        </w:tc>
      </w:tr>
    </w:tbl>
    <w:bookmarkEnd w:id="20"/>
    <w:sectPr w:rsidR="0052305C" w:rsidRPr="00C90BD4" w:rsidSect="009045C8">
      <w:pgSz w:w="11900" w:h="16840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017C640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C28E74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16E24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0002A4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1F4A8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555614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878B6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DBCE5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06AF1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08ACD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2D6DC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FE61C73"/>
    <w:multiLevelType w:val="multilevel"/>
    <w:tmpl w:val="4004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B75992"/>
    <w:multiLevelType w:val="hybridMultilevel"/>
    <w:tmpl w:val="9990A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1AE401"/>
    <w:multiLevelType w:val="multilevel"/>
    <w:tmpl w:val="A146A66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4" w15:restartNumberingAfterBreak="0">
    <w:nsid w:val="472D5D32"/>
    <w:multiLevelType w:val="hybridMultilevel"/>
    <w:tmpl w:val="A3AC6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370974"/>
    <w:multiLevelType w:val="multilevel"/>
    <w:tmpl w:val="91B0A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11"/>
  </w:num>
  <w:num w:numId="5">
    <w:abstractNumId w:val="15"/>
  </w:num>
  <w:num w:numId="6">
    <w:abstractNumId w:val="14"/>
  </w:num>
  <w:num w:numId="7">
    <w:abstractNumId w:val="12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9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3482"/>
    <w:pPr>
      <w:jc w:val="both"/>
    </w:pPr>
    <w:rPr>
      <w:sz w:val="22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CommentReference">
    <w:name w:val="annotation reference"/>
    <w:basedOn w:val="DefaultParagraphFont"/>
    <w:semiHidden/>
    <w:unhideWhenUsed/>
    <w:rsid w:val="00844D0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844D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44D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44D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44D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844D0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44D0C"/>
    <w:rPr>
      <w:rFonts w:ascii="Segoe UI" w:hAnsi="Segoe UI" w:cs="Segoe UI"/>
      <w:sz w:val="18"/>
      <w:szCs w:val="18"/>
    </w:rPr>
  </w:style>
  <w:style w:type="paragraph" w:styleId="Revision">
    <w:name w:val="Revision"/>
    <w:hidden/>
    <w:semiHidden/>
    <w:rsid w:val="00531B4F"/>
    <w:pPr>
      <w:spacing w:after="0"/>
    </w:pPr>
    <w:rPr>
      <w:sz w:val="22"/>
    </w:rPr>
  </w:style>
  <w:style w:type="paragraph" w:styleId="NormalWeb">
    <w:name w:val="Normal (Web)"/>
    <w:basedOn w:val="Normal"/>
    <w:semiHidden/>
    <w:unhideWhenUsed/>
    <w:rsid w:val="009045C8"/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rsid w:val="00720CBF"/>
    <w:pPr>
      <w:ind w:left="720"/>
      <w:contextualSpacing/>
    </w:pPr>
  </w:style>
  <w:style w:type="character" w:customStyle="1" w:styleId="Cross-Referenced">
    <w:name w:val="Cross-Referenced"/>
    <w:basedOn w:val="DefaultParagraphFont"/>
    <w:uiPriority w:val="1"/>
    <w:qFormat/>
    <w:rsid w:val="00E0020E"/>
    <w:rPr>
      <w:vertAlign w:val="superscript"/>
      <w:lang w:val="en-GB"/>
    </w:rPr>
  </w:style>
  <w:style w:type="character" w:customStyle="1" w:styleId="BodyTextChar">
    <w:name w:val="Body Text Char"/>
    <w:basedOn w:val="DefaultParagraphFont"/>
    <w:link w:val="BodyText"/>
    <w:rsid w:val="00E0020E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Tenth World Congress of Melanoma in Conjuction with 17th EADO Congress</vt:lpstr>
    </vt:vector>
  </TitlesOfParts>
  <Company>University of Oslo, Institute of Basic Medicine</Company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Related Table</dc:title>
  <dc:creator>Raju Rimal</dc:creator>
  <cp:keywords/>
  <dcterms:created xsi:type="dcterms:W3CDTF">2021-03-05T12:37:37Z</dcterms:created>
  <dcterms:modified xsi:type="dcterms:W3CDTF">2021-03-05T13:37:37Z</dcterms:modified>
  <cp:lastModifiedBy>therimalaya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3/2/2021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