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b/>
          <w:bCs/>
          <w:color w:val="25A49D"/>
          <w:spacing w:val="180"/>
          <w:sz w:val="22"/>
          <w:szCs w:val="22"/>
        </w:rPr>
        <w:t xml:space="preserve">THERMOVERSE</w:t>
      </w:r>
    </w:p>
    <w:p>
      <w:pPr>
        <w:spacing w:after="240" w:before="280"/>
      </w:pPr>
      <w:r>
        <w:rPr>
          <w:b/>
          <w:bCs/>
          <w:color w:val="123B3A"/>
          <w:sz w:val="52"/>
          <w:szCs w:val="52"/>
        </w:rPr>
        <w:t xml:space="preserve">FUTEX 2026</w:t>
      </w:r>
    </w:p>
    <w:p>
      <w:pPr>
        <w:spacing w:after="600"/>
      </w:pPr>
      <w:r>
        <w:rPr>
          <w:rFonts w:ascii="Arial Unicode MS" w:eastAsia="Arial Unicode MS" w:hAnsi="Arial Unicode MS"/>
          <w:b/>
          <w:bCs/>
          <w:color w:val="273436"/>
          <w:sz w:val="34"/>
          <w:szCs w:val="34"/>
        </w:rPr>
        <w:t xml:space="preserve">SOW 專案執行優化建議</w:t>
      </w:r>
    </w:p>
    <w:p>
      <w:pPr>
        <w:pBdr>
          <w:bottom w:val="single" w:color="25A49D" w:sz="20" w:space="1"/>
        </w:pBdr>
        <w:spacing w:after="500"/>
      </w:pPr>
    </w:p>
    <w:p>
      <w:pPr>
        <w:spacing w:after="120"/>
      </w:pPr>
      <w:r>
        <w:rPr>
          <w:rFonts w:ascii="Arial Unicode MS" w:eastAsia="Arial Unicode MS" w:hAnsi="Arial Unicode MS"/>
          <w:color w:val="536467"/>
          <w:sz w:val="21"/>
          <w:szCs w:val="21"/>
        </w:rPr>
        <w:t xml:space="preserve">檢視文件｜SOW for FUTEX 2026.pdf</w:t>
      </w:r>
    </w:p>
    <w:p>
      <w:pPr>
        <w:spacing w:after="120"/>
      </w:pPr>
      <w:r>
        <w:rPr>
          <w:rFonts w:ascii="Arial Unicode MS" w:eastAsia="Arial Unicode MS" w:hAnsi="Arial Unicode MS"/>
          <w:color w:val="536467"/>
          <w:sz w:val="21"/>
          <w:szCs w:val="21"/>
        </w:rPr>
        <w:t xml:space="preserve">整理日期｜2026 年 9 月 8 日</w:t>
      </w:r>
    </w:p>
    <w:p>
      <w:r>
        <w:rPr>
          <w:rFonts w:ascii="Arial Unicode MS" w:eastAsia="Arial Unicode MS" w:hAnsi="Arial Unicode MS"/>
          <w:color w:val="536467"/>
          <w:sz w:val="21"/>
          <w:szCs w:val="21"/>
        </w:rPr>
        <w:t xml:space="preserve">用途｜逐條修訂與協商底稿</w:t>
      </w:r>
    </w:p>
    <w:p>
      <w:pPr>
        <w:pageBreakBefore/>
      </w:pPr>
    </w:p>
    <w:p>
      <w:pPr>
        <w:spacing w:after="110" w:line="300"/>
      </w:pPr>
      <w:r>
        <w:rPr>
          <w:rFonts w:ascii="Arial Unicode MS" w:eastAsia="Arial Unicode MS" w:hAnsi="Arial Unicode MS"/>
        </w:rPr>
        <w:t xml:space="preserve">以下調整用於明確分工、避免執行落差，並確保網站、CRM、展覽與學術聯絡依時完成。</w:t>
      </w:r>
    </w:p>
    <w:p>
      <w:pPr>
        <w:pStyle w:val="Heading1"/>
      </w:pPr>
      <w:r>
        <w:t xml:space="preserve">一、現有條款優化</w:t>
      </w:r>
    </w:p>
    <w:p>
      <w:pPr>
        <w:pStyle w:val="Heading2"/>
      </w:pPr>
      <w:r>
        <w:t xml:space="preserve">1. Project Overview</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 Services include a one-time bilingual optimization of the Company’s website, setup of a basic CRM lead-management workflow, documented academic outreach, FUTEX representation, and demo logistics within the scope stated in this SOW. Academic outreach will be evaluated based on the documented actions and deliverables completed by the Contractor, while third-party responses, partnerships, grant eligibility, grant approval, and funding remain external outcomes.</w:t>
      </w:r>
    </w:p>
    <w:p>
      <w:pPr>
        <w:pStyle w:val="Heading2"/>
      </w:pPr>
      <w:r>
        <w:t xml:space="preserve">2. Team Roles and Responsibilities</w:t>
      </w:r>
    </w:p>
    <w:p>
      <w:pPr>
        <w:spacing w:after="110" w:line="300"/>
      </w:pPr>
      <w:r>
        <w:rPr>
          <w:rFonts w:ascii="Arial Unicode MS" w:eastAsia="Arial Unicode MS" w:hAnsi="Arial Unicode MS"/>
        </w:rPr>
        <w:t xml:space="preserve">Contractor 職稱全文統一為：</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Independent Marketing Coordinator</w:t>
      </w:r>
    </w:p>
    <w:p>
      <w:pPr>
        <w:spacing w:after="110" w:line="300"/>
      </w:pPr>
      <w:r>
        <w:rPr>
          <w:rFonts w:ascii="Arial Unicode MS" w:eastAsia="Arial Unicode MS" w:hAnsi="Arial Unicode MS"/>
        </w:rPr>
        <w:t xml:space="preserve">新增：</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ThermoVerse Inc. shall provide all required brand assets, approved technical information, website access, account access, privacy-policy content, demo instructions, venue credentials, and consolidated approvals according to the agreed schedule. The Company is responsible for the accuracy and substantiation of all technical, regulatory, product-performance, grant-related, and marketing claims supplied or approved by the Company.</w:t>
      </w:r>
    </w:p>
    <w:p>
      <w:pPr>
        <w:pStyle w:val="Heading2"/>
      </w:pPr>
      <w:r>
        <w:t xml:space="preserve">3.A Logistics &amp; Equipment Handling</w:t>
      </w:r>
    </w:p>
    <w:p>
      <w:pPr>
        <w:spacing w:after="110" w:line="300"/>
      </w:pPr>
      <w:r>
        <w:rPr>
          <w:rFonts w:ascii="Arial Unicode MS" w:eastAsia="Arial Unicode MS" w:hAnsi="Arial Unicode MS"/>
        </w:rPr>
        <w:t xml:space="preserve">新增：</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Before pickup, the Company shall provide an equipment inventory, photographs, declared replacement value, dimensions, weight, handling instructions, operating instructions, and disclosure of any special transportation requirements. The parties shall document the condition of the demo container at pickup and return to ensure a clear and efficient handover. The Contractor will be responsible for loss or damage caused by the Contractor’s willful misconduct or gross negligence. Inherent defects, normal wear and tear, inadequate packaging, and undisclosed hazards will remain the Company’s responsibility.</w:t>
      </w:r>
    </w:p>
    <w:p>
      <w:pPr>
        <w:pStyle w:val="Heading2"/>
      </w:pPr>
      <w:r>
        <w:t xml:space="preserve">3.B Expo Representation</w:t>
      </w:r>
    </w:p>
    <w:p>
      <w:pPr>
        <w:spacing w:after="110" w:line="300"/>
      </w:pPr>
      <w:r>
        <w:rPr>
          <w:rFonts w:ascii="Arial Unicode MS" w:eastAsia="Arial Unicode MS" w:hAnsi="Arial Unicode MS"/>
        </w:rPr>
        <w:t xml:space="preserve">新增：</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 day rate covers attendance from 9:00 AM to 5:30 PM Taiwan Time, including reasonable meal and rest breaks. Work requested outside these hours, separate setup or teardown work, or additional event days requires prior written approval and a mutually agreed additional fee. The Company shall provide or pay for required exhibitor credentials, booth access, electricity, internet access, and display equipment.</w:t>
      </w:r>
    </w:p>
    <w:p>
      <w:pPr>
        <w:pStyle w:val="Heading2"/>
      </w:pPr>
      <w:r>
        <w:t xml:space="preserve">3.C Targeted Academic Matchmaking &amp; Outreach</w:t>
      </w:r>
    </w:p>
    <w:p>
      <w:pPr>
        <w:spacing w:after="110" w:line="300"/>
      </w:pPr>
      <w:r>
        <w:rPr>
          <w:rFonts w:ascii="Arial Unicode MS" w:eastAsia="Arial Unicode MS" w:hAnsi="Arial Unicode MS"/>
        </w:rPr>
        <w:t xml:space="preserve">修改為：</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 Contractor will make documented outreach efforts to the three academic contacts identified by the Company. Completion will be measured by sending Company-approved messages, making reasonable on-site contact attempts where feasible, and delivering a written activity and response summary. Recipient responses, meetings, partnerships, grant qualification, and funding will be treated as follow-up opportunities rather than required deliverables.</w:t>
      </w:r>
    </w:p>
    <w:p>
      <w:pPr>
        <w:spacing w:after="110" w:line="300"/>
      </w:pPr>
      <w:r>
        <w:rPr>
          <w:rFonts w:ascii="Arial Unicode MS" w:eastAsia="Arial Unicode MS" w:hAnsi="Arial Unicode MS"/>
        </w:rPr>
        <w:t xml:space="preserve">新增：</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All recipient information, technical claims, grant references, talking points, and final outreach messages must be approved in writing by the Company before use.</w:t>
      </w:r>
    </w:p>
    <w:p>
      <w:pPr>
        <w:pStyle w:val="Heading2"/>
      </w:pPr>
      <w:r>
        <w:t xml:space="preserve">3.D Website Optimization &amp; CRM Integration</w:t>
      </w:r>
    </w:p>
    <w:p>
      <w:pPr>
        <w:spacing w:after="110" w:line="300"/>
      </w:pPr>
      <w:r>
        <w:rPr>
          <w:rFonts w:ascii="Arial Unicode MS" w:eastAsia="Arial Unicode MS" w:hAnsi="Arial Unicode MS"/>
        </w:rPr>
        <w:t xml:space="preserve">交付時程修改為：</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All dates and deadlines under this SOW are based on Taiwan Time (UTC+8). The Contractor will provide the first review version on September 11, 2026, the second review version on September 13, 2026, and the final deliverable on September 15, 2026. The final deliverable includes the bilingual website and basic CRM within the scope stated in this SOW. To keep the project on schedule, delays in required content, approvals, credentials, access, or third-party services will result in a corresponding schedule adjustment unless the parties agree in writing to reprioritize the scope.</w:t>
      </w:r>
    </w:p>
    <w:p>
      <w:pPr>
        <w:spacing w:after="110" w:line="300"/>
      </w:pPr>
      <w:r>
        <w:rPr>
          <w:rFonts w:ascii="Arial Unicode MS" w:eastAsia="Arial Unicode MS" w:hAnsi="Arial Unicode MS"/>
        </w:rPr>
        <w:t xml:space="preserve">網站範圍修改為：</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 website scope is limited to five page types—Home, Technology, Use Cases, About Us including FACES, and Contact Us—in Traditional Chinese and English, for a total of ten localized pages. The fee includes responsive desktop and mobile layouts, basic page titles and meta descriptions, correction of identified broken navigation links, up to three consolidated revision rounds, deployment, and a basic handover guide. New page types, custom applications, additional revisions, ongoing maintenance, paid software, hosting, domain, stock media, and third-party subscription fees are excluded unless separately agreed in writing.</w:t>
      </w:r>
    </w:p>
    <w:p>
      <w:pPr>
        <w:spacing w:after="110" w:line="300"/>
      </w:pPr>
      <w:r>
        <w:rPr>
          <w:rFonts w:ascii="Arial Unicode MS" w:eastAsia="Arial Unicode MS" w:hAnsi="Arial Unicode MS"/>
        </w:rPr>
        <w:t xml:space="preserve">首頁與 Technology 的技術相關文字本階段不修改。新增發布前確認程序：</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 technical and product-related wording in this SOW will remain unchanged at this stage. Before publication or external use, the Contractor and the Company will review and confirm all technical terminology, product-performance figures, safety statements, code-compliance statements, BACnet references, comparisons with chemical BESS, energy-saving claims, emissions-reduction statements, and carbon-credit wording. Such content may be published only after the Company provides written approval of the final wording.</w:t>
      </w:r>
    </w:p>
    <w:p>
      <w:pPr>
        <w:spacing w:after="110" w:line="300"/>
      </w:pPr>
      <w:r>
        <w:rPr>
          <w:rFonts w:ascii="Arial Unicode MS" w:eastAsia="Arial Unicode MS" w:hAnsi="Arial Unicode MS"/>
        </w:rPr>
        <w:t xml:space="preserve">Use Cases 修改為：</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 Use Cases page will invite commercial-building, industrial-site, and multifamily-property stakeholders to apply as potential POC site partners. Submission of an inquiry does not create a POC agreement. POC scope, schedule, equipment, data access, costs, confidentiality, measurement methods, publicity rights, and each party’s responsibilities will be agreed separately in writing.</w:t>
      </w:r>
    </w:p>
    <w:p>
      <w:pPr>
        <w:spacing w:after="110" w:line="300"/>
      </w:pPr>
      <w:r>
        <w:rPr>
          <w:rFonts w:ascii="Arial Unicode MS" w:eastAsia="Arial Unicode MS" w:hAnsi="Arial Unicode MS"/>
        </w:rPr>
        <w:t xml:space="preserve">CTA：</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申請成為 POC 場域合作夥伴 / Apply as a POC Site Partner</w:t>
      </w:r>
    </w:p>
    <w:p>
      <w:pPr>
        <w:spacing w:after="110" w:line="300"/>
      </w:pPr>
      <w:r>
        <w:rPr>
          <w:rFonts w:ascii="Arial Unicode MS" w:eastAsia="Arial Unicode MS" w:hAnsi="Arial Unicode MS"/>
        </w:rPr>
        <w:t xml:space="preserve">CRM 修改為：</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 basic CRM scope includes a lead list, lead-detail records, inquiry type, source page, website language, submission time, follow-up status, notes, search, filtering, CSV export, and notification to a Company-designated email address. The Company will own and administer the production account and submitted lead data. Third-party fees, marketing automation, quotation management, advanced sales pipelines, custom integrations, historical-data migration, and ongoing CRM administration are excluded.</w:t>
      </w:r>
    </w:p>
    <w:p>
      <w:pPr>
        <w:spacing w:after="110" w:line="300"/>
      </w:pPr>
      <w:r>
        <w:rPr>
          <w:rFonts w:ascii="Arial Unicode MS" w:eastAsia="Arial Unicode MS" w:hAnsi="Arial Unicode MS"/>
        </w:rPr>
        <w:t xml:space="preserve">刪除 CRM 工具選型與選型期限要求。</w:t>
      </w:r>
    </w:p>
    <w:p>
      <w:pPr>
        <w:pStyle w:val="Heading2"/>
      </w:pPr>
      <w:r>
        <w:t xml:space="preserve">Payment Terms — 1. Compensation Structure</w:t>
      </w:r>
    </w:p>
    <w:p>
      <w:pPr>
        <w:spacing w:after="110" w:line="300"/>
      </w:pPr>
      <w:r>
        <w:rPr>
          <w:rFonts w:ascii="Arial Unicode MS" w:eastAsia="Arial Unicode MS" w:hAnsi="Arial Unicode MS"/>
        </w:rPr>
        <w:t xml:space="preserve">新增：</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Compensation is based on the deliverables and exclusions stated in this SOW. Requests outside the stated scope require a written change order specifying the additional fee and schedule before work begins.</w:t>
      </w:r>
    </w:p>
    <w:p>
      <w:pPr>
        <w:pStyle w:val="Heading2"/>
      </w:pPr>
      <w:r>
        <w:t xml:space="preserve">Payment Terms — 2. Expense Reimbursement</w:t>
      </w:r>
    </w:p>
    <w:p>
      <w:pPr>
        <w:spacing w:after="110" w:line="300"/>
      </w:pPr>
      <w:r>
        <w:rPr>
          <w:rFonts w:ascii="Arial Unicode MS" w:eastAsia="Arial Unicode MS" w:hAnsi="Arial Unicode MS"/>
        </w:rPr>
        <w:t xml:space="preserve">修改為：</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 Company will reimburse reasonable and necessary expenses approved in writing before they are incurred. Reimbursable expenses include demo transportation, required courier or special-vehicle charges, approved storage or packaging materials, event-related local transportation and parking, and other expenses authorized by the Company. Valid digital receipts must be submitted with the applicable invoice.</w:t>
      </w:r>
    </w:p>
    <w:p>
      <w:pPr>
        <w:pStyle w:val="Heading2"/>
      </w:pPr>
      <w:r>
        <w:t xml:space="preserve">Payment Terms — 3. Invoicing and Payment Schedule</w:t>
      </w:r>
    </w:p>
    <w:p>
      <w:pPr>
        <w:spacing w:after="110" w:line="300"/>
      </w:pPr>
      <w:r>
        <w:rPr>
          <w:rFonts w:ascii="Arial Unicode MS" w:eastAsia="Arial Unicode MS" w:hAnsi="Arial Unicode MS"/>
        </w:rPr>
        <w:t xml:space="preserve">修改為：</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 Contractor may invoice US$675 upon delivery and acceptance of the bilingual website, basic CRM, and documented academic outreach deliverables. The Contractor may invoice US$525 upon completion of the three FUTEX attendance days. Approved expenses may be included in the applicable invoice or a separate final expense invoice. Each undisputed invoice is payable within 30 calendar days of receipt (Net 30). The Company must identify disputed items in writing within five business days and timely pay all undisputed amounts. The Company will bear outgoing and intermediary wire-transfer fees. Any legally required withholding must be documented and the applicable tax certificate provided to the Contractor.</w:t>
      </w:r>
    </w:p>
    <w:p>
      <w:pPr>
        <w:pStyle w:val="Heading2"/>
      </w:pPr>
      <w:r>
        <w:t xml:space="preserve">Appendix A</w:t>
      </w:r>
    </w:p>
    <w:p>
      <w:pPr>
        <w:spacing w:after="110" w:line="300"/>
      </w:pPr>
      <w:r>
        <w:rPr>
          <w:rFonts w:ascii="Arial Unicode MS" w:eastAsia="Arial Unicode MS" w:hAnsi="Arial Unicode MS"/>
        </w:rPr>
        <w:t xml:space="preserve">Email 內容本階段不修改。新增寄送前確認程序：</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 email content in Appendix A will remain unchanged at this stage. Before any email is sent, the Contractor and the Company will review and confirm the recipient information, technical statements, grant references, timing references, and final email content. Emails may be sent only after the Company provides written approval of the final version.</w:t>
      </w:r>
    </w:p>
    <w:p>
      <w:pPr>
        <w:pStyle w:val="Heading2"/>
      </w:pPr>
      <w:r>
        <w:t xml:space="preserve">Signatures and Formatting</w:t>
      </w:r>
    </w:p>
    <w:p>
      <w:pPr>
        <w:pStyle w:val="ListParagraph"/>
        <w:numPr>
          <w:ilvl w:val="0"/>
          <w:numId w:val="2"/>
        </w:numPr>
        <w:spacing w:after="70"/>
      </w:pPr>
      <w:r>
        <w:rPr>
          <w:rFonts w:ascii="Arial Unicode MS" w:eastAsia="Arial Unicode MS" w:hAnsi="Arial Unicode MS"/>
        </w:rPr>
        <w:t xml:space="preserve">補上 Contractor 法定姓名。</w:t>
      </w:r>
    </w:p>
    <w:p>
      <w:pPr>
        <w:pStyle w:val="ListParagraph"/>
        <w:numPr>
          <w:ilvl w:val="0"/>
          <w:numId w:val="2"/>
        </w:numPr>
        <w:spacing w:after="70"/>
      </w:pPr>
      <w:r>
        <w:rPr>
          <w:rFonts w:ascii="Arial Unicode MS" w:eastAsia="Arial Unicode MS" w:hAnsi="Arial Unicode MS"/>
        </w:rPr>
        <w:t xml:space="preserve">Contractor 職稱統一為 </w:t>
      </w:r>
      <w:r>
        <w:rPr>
          <w:rFonts w:ascii="Aptos Mono" w:cs="Aptos Mono" w:eastAsia="Aptos Mono" w:hAnsi="Aptos Mono"/>
          <w:color w:val="0D7773"/>
          <w:shd w:fill="E8F4F2" w:val="clear"/>
        </w:rPr>
        <w:t xml:space="preserve">Independent Marketing Coordinator</w:t>
      </w:r>
      <w:r>
        <w:rPr>
          <w:rFonts w:ascii="Arial Unicode MS" w:eastAsia="Arial Unicode MS" w:hAnsi="Arial Unicode MS"/>
        </w:rPr>
        <w:t xml:space="preserve">。</w:t>
      </w:r>
    </w:p>
    <w:p>
      <w:pPr>
        <w:pStyle w:val="ListParagraph"/>
        <w:numPr>
          <w:ilvl w:val="0"/>
          <w:numId w:val="2"/>
        </w:numPr>
        <w:spacing w:after="70"/>
      </w:pPr>
      <w:r>
        <w:rPr>
          <w:rFonts w:ascii="Arial Unicode MS" w:eastAsia="Arial Unicode MS" w:hAnsi="Arial Unicode MS"/>
        </w:rPr>
        <w:t xml:space="preserve">開頭改為 </w:t>
      </w:r>
      <w:r>
        <w:rPr>
          <w:rFonts w:ascii="Aptos Mono" w:cs="Aptos Mono" w:eastAsia="Aptos Mono" w:hAnsi="Aptos Mono"/>
          <w:color w:val="0D7773"/>
          <w:shd w:fill="E8F4F2" w:val="clear"/>
        </w:rPr>
        <w:t xml:space="preserve">(hereinafter referred to as the “Contractor”).</w:t>
      </w:r>
    </w:p>
    <w:p>
      <w:pPr>
        <w:pStyle w:val="ListParagraph"/>
        <w:numPr>
          <w:ilvl w:val="0"/>
          <w:numId w:val="2"/>
        </w:numPr>
        <w:spacing w:after="70"/>
      </w:pPr>
      <w:r>
        <w:rPr>
          <w:rFonts w:ascii="Aptos Mono" w:cs="Aptos Mono" w:eastAsia="Aptos Mono" w:hAnsi="Aptos Mono"/>
          <w:color w:val="0D7773"/>
          <w:shd w:fill="E8F4F2" w:val="clear"/>
        </w:rPr>
        <w:t xml:space="preserve">Statement of work</w:t>
      </w:r>
      <w:r>
        <w:rPr>
          <w:rFonts w:ascii="Arial Unicode MS" w:eastAsia="Arial Unicode MS" w:hAnsi="Arial Unicode MS"/>
        </w:rPr>
        <w:t xml:space="preserve"> 改為 </w:t>
      </w:r>
      <w:r>
        <w:rPr>
          <w:rFonts w:ascii="Aptos Mono" w:cs="Aptos Mono" w:eastAsia="Aptos Mono" w:hAnsi="Aptos Mono"/>
          <w:color w:val="0D7773"/>
          <w:shd w:fill="E8F4F2" w:val="clear"/>
        </w:rPr>
        <w:t xml:space="preserve">Statement of Work</w:t>
      </w:r>
      <w:r>
        <w:rPr>
          <w:rFonts w:ascii="Arial Unicode MS" w:eastAsia="Arial Unicode MS" w:hAnsi="Arial Unicode MS"/>
        </w:rPr>
        <w:t xml:space="preserve">。</w:t>
      </w:r>
    </w:p>
    <w:p>
      <w:pPr>
        <w:pStyle w:val="ListParagraph"/>
        <w:numPr>
          <w:ilvl w:val="0"/>
          <w:numId w:val="2"/>
        </w:numPr>
        <w:spacing w:after="70"/>
      </w:pPr>
      <w:r>
        <w:rPr>
          <w:rFonts w:ascii="Arial Unicode MS" w:eastAsia="Arial Unicode MS" w:hAnsi="Arial Unicode MS"/>
        </w:rPr>
        <w:t xml:space="preserve">技術名詞及大小寫維持原文，待 Company 確認後統一。</w:t>
      </w:r>
    </w:p>
    <w:p>
      <w:pPr>
        <w:pStyle w:val="ListParagraph"/>
        <w:numPr>
          <w:ilvl w:val="0"/>
          <w:numId w:val="2"/>
        </w:numPr>
        <w:spacing w:after="70"/>
      </w:pPr>
      <w:r>
        <w:rPr>
          <w:rFonts w:ascii="Arial Unicode MS" w:eastAsia="Arial Unicode MS" w:hAnsi="Arial Unicode MS"/>
        </w:rPr>
        <w:t xml:space="preserve">重排第 1 頁跨頁表格及第 4 頁留白。</w:t>
      </w:r>
    </w:p>
    <w:p>
      <w:pPr>
        <w:pStyle w:val="ListParagraph"/>
        <w:numPr>
          <w:ilvl w:val="0"/>
          <w:numId w:val="2"/>
        </w:numPr>
        <w:spacing w:after="70"/>
      </w:pPr>
      <w:r>
        <w:rPr>
          <w:rFonts w:ascii="Arial Unicode MS" w:eastAsia="Arial Unicode MS" w:hAnsi="Arial Unicode MS"/>
        </w:rPr>
        <w:t xml:space="preserve">若沒有主合約，文件名稱改為 </w:t>
      </w:r>
      <w:r>
        <w:rPr>
          <w:rFonts w:ascii="Aptos Mono" w:cs="Aptos Mono" w:eastAsia="Aptos Mono" w:hAnsi="Aptos Mono"/>
          <w:color w:val="0D7773"/>
          <w:shd w:fill="E8F4F2" w:val="clear"/>
        </w:rPr>
        <w:t xml:space="preserve">Independent Contractor Statement of Work</w:t>
      </w:r>
      <w:r>
        <w:rPr>
          <w:rFonts w:ascii="Arial Unicode MS" w:eastAsia="Arial Unicode MS" w:hAnsi="Arial Unicode MS"/>
        </w:rPr>
        <w:t xml:space="preserve">，不使用 </w:t>
      </w:r>
      <w:r>
        <w:rPr>
          <w:rFonts w:ascii="Aptos Mono" w:cs="Aptos Mono" w:eastAsia="Aptos Mono" w:hAnsi="Aptos Mono"/>
          <w:color w:val="0D7773"/>
          <w:shd w:fill="E8F4F2" w:val="clear"/>
        </w:rPr>
        <w:t xml:space="preserve">Exhibit A</w:t>
      </w:r>
      <w:r>
        <w:rPr>
          <w:rFonts w:ascii="Arial Unicode MS" w:eastAsia="Arial Unicode MS" w:hAnsi="Arial Unicode MS"/>
        </w:rPr>
        <w:t xml:space="preserve">。</w:t>
      </w:r>
    </w:p>
    <w:p>
      <w:pPr>
        <w:pStyle w:val="Heading1"/>
        <w:pageBreakBefore/>
      </w:pPr>
      <w:r>
        <w:t xml:space="preserve">二、補充條款</w:t>
      </w:r>
    </w:p>
    <w:p>
      <w:pPr>
        <w:pStyle w:val="Heading2"/>
      </w:pPr>
      <w:r>
        <w:t xml:space="preserve">4. Review and Acceptance</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All review deadlines are based on Taiwan Time (UTC+8). The Contractor will provide review versions on September 11 and September 13, 2026, and the final version on September 15, 2026. The fee includes a maximum of three consolidated revision rounds. Each round begins when the Company submits one consolidated written feedback list and ends when the Contractor delivers the corresponding revised version. Delayed Company feedback will extend the following deadline by the corresponding delay. Material defects that cause the deliverable not to conform to the agreed scope will be corrected without counting as a revision round. New content, changed preferences, out-of-scope requests, and revisions beyond the three included rounds require a written change order.</w:t>
      </w:r>
    </w:p>
    <w:p>
      <w:pPr>
        <w:pStyle w:val="Heading2"/>
      </w:pPr>
      <w:r>
        <w:t xml:space="preserve">5. Change Control</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Any change to the scope, deliverables, assumptions, schedule, or number of revisions must be agreed in writing by both parties. The Contractor is not required to begin out-of-scope work until the parties approve the corresponding fee and schedule adjustment.</w:t>
      </w:r>
    </w:p>
    <w:p>
      <w:pPr>
        <w:pStyle w:val="Heading2"/>
      </w:pPr>
      <w:r>
        <w:t xml:space="preserve">6. Company Dependencies and Delay</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The Company shall provide complete materials, access credentials, approved technical evidence, and consolidated feedback according to the agreed schedule. To preserve delivery quality and timing, Company or third-party delays will result in a corresponding schedule adjustment unless the parties agree in writing to reprioritize the scope.</w:t>
      </w:r>
    </w:p>
    <w:p>
      <w:pPr>
        <w:pStyle w:val="Heading2"/>
      </w:pPr>
      <w:r>
        <w:t xml:space="preserve">7. Intellectual Property</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Upon full payment, the Company will own the final website copy, page layouts, and project-specific CRM configuration created exclusively under this SOW. The Contractor retains ownership of pre-existing tools, templates, methods, know-how, and reusable components, while granting the Company a perpetual license to use components embedded in the final deliverables. The Company warrants that it has the right to use all materials it provides.</w:t>
      </w:r>
    </w:p>
    <w:p>
      <w:pPr>
        <w:pStyle w:val="Heading2"/>
      </w:pPr>
      <w:r>
        <w:t xml:space="preserve">8. Confidentiality and Personal Data</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Each party will protect non-public business, technical, credential, and personal information received from the other party and use it only to perform this SOW. The Company is responsible for approving the privacy notice, lawful collection purpose, retention period, access policy, and marketing-consent language. Upon completion, the Contractor will return or delete Company credentials and personal-data exports, except where retention is required by law.</w:t>
      </w:r>
    </w:p>
    <w:p>
      <w:pPr>
        <w:pStyle w:val="Heading2"/>
      </w:pPr>
      <w:r>
        <w:t xml:space="preserve">9. Cancellation, Termination, and Force Majeure</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Either party may terminate this SOW for material breach if the breach is not cured within five business days after written notice, where cure is reasonably possible. If FUTEX is cancelled, postponed, inaccessible, or materially disrupted for reasons outside the Contractor’s control, the Company will pay for completed work, non-cancellable commitments, and approved expenses incurred through the cancellation date.</w:t>
      </w:r>
    </w:p>
    <w:p>
      <w:pPr>
        <w:pStyle w:val="Heading2"/>
      </w:pPr>
      <w:r>
        <w:t xml:space="preserve">10. Limitation of Responsibility</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To ensure that each party is responsible for matters within its control, third-party platform outages, venue decisions, recipient responses, grant outcomes, product defects, and Company-supplied claims and materials will remain outside the Contractor’s responsibility. Except for willful misconduct, gross negligence, breach of confidentiality, or misuse of personal data, each party’s aggregate liability arising from this SOW will not exceed the total fees paid or payable under this SOW.</w:t>
      </w:r>
    </w:p>
    <w:p>
      <w:pPr>
        <w:pStyle w:val="Heading2"/>
      </w:pPr>
      <w:r>
        <w:t xml:space="preserve">11. Governing Law and Jurisdiction</w:t>
      </w:r>
    </w:p>
    <w:p>
      <w:pPr>
        <w:pBdr>
          <w:left w:val="single" w:color="25A49D" w:sz="18" w:space="12"/>
        </w:pBdr>
        <w:shd w:fill="F1F8F7" w:val="clear"/>
        <w:spacing w:after="150" w:before="90" w:line="290"/>
        <w:ind w:left="420" w:right="220"/>
      </w:pPr>
      <w:r>
        <w:rPr>
          <w:rFonts w:ascii="Aptos" w:cs="Aptos" w:eastAsia="Aptos" w:hAnsi="Aptos"/>
          <w:color w:val="273436"/>
          <w:sz w:val="19"/>
          <w:szCs w:val="19"/>
        </w:rPr>
        <w:t xml:space="preserve">This SOW and any agreement incorporating it shall be governed by the laws of Taiwan (Republic of China), without regard to conflict-of-law principles. The parties agree that the Taiwan Taipei District Court shall have exclusive jurisdiction as the court of first instance over any dispute arising out of or relating to this SOW.</w:t>
      </w:r>
    </w:p>
    <w:sectPr>
      <w:headerReference w:type="default" r:id="rId7"/>
      <w:footerReference w:type="default" r:id="rId8"/>
      <w:pgSz w:w="11906" w:h="16838" w:orient="portrait"/>
      <w:pgMar w:top="1000" w:right="1050" w:bottom="9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right"/>
    </w:pPr>
    <w:r>
      <w:rPr>
        <w:color w:val="6B7D7E"/>
        <w:sz w:val="16"/>
        <w:szCs w:val="16"/>
      </w:rPr>
      <w:t xml:space="preserve">2026.09.08  ·  </w:t>
    </w:r>
    <w:r>
      <w:rPr>
        <w:color w:val="6B7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5E3" w:sz="5" w:space="5"/>
      </w:pBdr>
      <w:jc w:val="right"/>
    </w:pPr>
    <w:r>
      <w:rPr>
        <w:b/>
        <w:bCs/>
        <w:color w:val="6B7D7E"/>
        <w:sz w:val="16"/>
        <w:szCs w:val="16"/>
      </w:rPr>
      <w:t xml:space="preserve">THERMOVERSE  |  SOW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eastAsia="Arial Unicode MS" w:hAnsi="Arial Unicode MS"/>
        <w:color w:val="273436"/>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Unicode MS" w:eastAsia="Arial Unicode MS" w:hAnsi="Arial Unicode MS"/>
      <w:b/>
      <w:bCs/>
      <w:color w:val="123B3A"/>
      <w:sz w:val="48"/>
      <w:szCs w:val="48"/>
    </w:rPr>
  </w:style>
  <w:style w:type="paragraph" w:styleId="Heading1">
    <w:name w:val="Heading 1"/>
    <w:basedOn w:val="Normal"/>
    <w:next w:val="Normal"/>
    <w:qFormat/>
    <w:pPr>
      <w:pBdr>
        <w:bottom w:val="single" w:color="9DD8D3" w:sz="8" w:space="6"/>
      </w:pBdr>
      <w:spacing w:after="170" w:before="320"/>
      <w:outlineLvl w:val="0"/>
    </w:pPr>
    <w:rPr>
      <w:rFonts w:ascii="Arial Unicode MS" w:eastAsia="Arial Unicode MS" w:hAnsi="Arial Unicode MS"/>
      <w:b/>
      <w:bCs/>
      <w:color w:val="123B3A"/>
      <w:sz w:val="32"/>
      <w:szCs w:val="32"/>
    </w:rPr>
  </w:style>
  <w:style w:type="paragraph" w:styleId="Heading2">
    <w:name w:val="Heading 2"/>
    <w:basedOn w:val="Normal"/>
    <w:next w:val="Normal"/>
    <w:qFormat/>
    <w:pPr>
      <w:spacing w:after="120" w:before="260"/>
      <w:outlineLvl w:val="1"/>
    </w:pPr>
    <w:rPr>
      <w:rFonts w:ascii="Arial Unicode MS" w:eastAsia="Arial Unicode MS" w:hAnsi="Arial Unicode MS"/>
      <w:b/>
      <w:bCs/>
      <w:color w:val="0D7773"/>
      <w:sz w:val="26"/>
      <w:szCs w:val="26"/>
    </w:rPr>
  </w:style>
  <w:style w:type="paragraph" w:styleId="Heading3">
    <w:name w:val="Heading 3"/>
    <w:basedOn w:val="Normal"/>
    <w:next w:val="Normal"/>
    <w:qFormat/>
    <w:pPr>
      <w:spacing w:after="90" w:before="190"/>
      <w:outlineLvl w:val="2"/>
    </w:pPr>
    <w:rPr>
      <w:rFonts w:ascii="Arial Unicode MS" w:eastAsia="Arial Unicode MS" w:hAnsi="Arial Unicode MS"/>
      <w:b/>
      <w:bCs/>
      <w:color w:val="3859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ThermoVerse FUTEX 2026 SOW 專案執行優化建議</dc:title>
  <dc:creator>ThermoVerse SOW Review</dc:creator>
  <dc:description>逐條問題說明與英文修正文案</dc:description>
  <cp:lastModifiedBy>Un-named</cp:lastModifiedBy>
  <cp:revision>1</cp:revision>
  <dcterms:created xsi:type="dcterms:W3CDTF">2026-09-08T07:03:18.926Z</dcterms:created>
  <dcterms:modified xsi:type="dcterms:W3CDTF">2026-09-08T07:03:18.929Z</dcterms:modified>
</cp:coreProperties>
</file>

<file path=docProps/custom.xml><?xml version="1.0" encoding="utf-8"?>
<Properties xmlns="http://schemas.openxmlformats.org/officeDocument/2006/custom-properties" xmlns:vt="http://schemas.openxmlformats.org/officeDocument/2006/docPropsVTypes"/>
</file>