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outline w:val="0"/>
          <w:color w:val="123b3a"/>
          <w:sz w:val="52"/>
          <w:szCs w:val="52"/>
          <w:u w:color="123b3a"/>
          <w:rtl w:val="0"/>
          <w:lang w:val="de-DE"/>
          <w14:textFill>
            <w14:solidFill>
              <w14:srgbClr w14:val="123B3A"/>
            </w14:solidFill>
          </w14:textFill>
        </w:rPr>
        <w:t>FUTEX 2026</w:t>
      </w:r>
    </w:p>
    <w:p>
      <w:pPr>
        <w:pStyle w:val="Body"/>
        <w:bidi w:val="0"/>
      </w:pPr>
      <w:r>
        <w:rPr>
          <w:rFonts w:ascii="Arial Unicode MS" w:hAnsi="Arial Unicode MS"/>
          <w:outline w:val="0"/>
          <w:color w:val="273436"/>
          <w:sz w:val="28"/>
          <w:szCs w:val="28"/>
          <w:u w:color="273436"/>
          <w:rtl w:val="0"/>
          <w:lang w:val="en-US"/>
          <w14:textFill>
            <w14:solidFill>
              <w14:srgbClr w14:val="273436"/>
            </w14:solidFill>
          </w14:textFill>
        </w:rPr>
        <w:t>SOW PROJECT DELIVERY RECOMMENDATIONS</w:t>
      </w:r>
    </w:p>
    <w:p>
      <w:pPr>
        <w:pStyle w:val="Body"/>
        <w:bidi w:val="0"/>
      </w:pPr>
    </w:p>
    <w:p>
      <w:pPr>
        <w:pStyle w:val="Body"/>
        <w:bidi w:val="0"/>
      </w:pPr>
      <w:r>
        <w:rPr>
          <w:rFonts w:ascii="Arial Unicode MS" w:hAnsi="Arial Unicode MS"/>
          <w:outline w:val="0"/>
          <w:color w:val="536467"/>
          <w:sz w:val="21"/>
          <w:szCs w:val="21"/>
          <w:u w:color="536467"/>
          <w:rtl w:val="0"/>
          <w:lang w:val="en-US"/>
          <w14:textFill>
            <w14:solidFill>
              <w14:srgbClr w14:val="536467"/>
            </w14:solidFill>
          </w14:textFill>
        </w:rPr>
        <w:t>Document Reviewed | SOW for FUTEX 2026.pdf</w:t>
      </w:r>
    </w:p>
    <w:p>
      <w:pPr>
        <w:pStyle w:val="Body"/>
        <w:bidi w:val="0"/>
      </w:pPr>
      <w:r>
        <w:rPr>
          <w:rFonts w:ascii="Arial Unicode MS" w:hAnsi="Arial Unicode MS"/>
          <w:outline w:val="0"/>
          <w:color w:val="536467"/>
          <w:sz w:val="21"/>
          <w:szCs w:val="21"/>
          <w:u w:color="536467"/>
          <w:rtl w:val="0"/>
          <w14:textFill>
            <w14:solidFill>
              <w14:srgbClr w14:val="536467"/>
            </w14:solidFill>
          </w14:textFill>
        </w:rPr>
        <w:t>Prepared | September 8, 2026</w:t>
      </w:r>
    </w:p>
    <w:p>
      <w:pPr>
        <w:pStyle w:val="Body"/>
        <w:bidi w:val="0"/>
      </w:pPr>
      <w:r>
        <w:rPr>
          <w:rFonts w:ascii="Arial Unicode MS" w:hAnsi="Arial Unicode MS"/>
          <w:outline w:val="0"/>
          <w:color w:val="536467"/>
          <w:sz w:val="21"/>
          <w:szCs w:val="21"/>
          <w:u w:color="536467"/>
          <w:rtl w:val="0"/>
          <w:lang w:val="en-US"/>
          <w14:textFill>
            <w14:solidFill>
              <w14:srgbClr w14:val="536467"/>
            </w14:solidFill>
          </w14:textFill>
        </w:rPr>
        <w:t>Purpose</w:t>
      </w:r>
      <w:r>
        <w:rPr>
          <w:rFonts w:ascii="Arial Unicode MS" w:hAnsi="Arial Unicode MS"/>
          <w:outline w:val="0"/>
          <w:color w:val="536467"/>
          <w:sz w:val="21"/>
          <w:szCs w:val="21"/>
          <w:u w:color="536467"/>
          <w:rtl w:val="0"/>
          <w:lang w:val="en-US"/>
          <w14:textFill>
            <w14:solidFill>
              <w14:srgbClr w14:val="536467"/>
            </w14:solidFill>
          </w14:textFill>
        </w:rPr>
        <w:t>d by</w:t>
      </w:r>
      <w:r>
        <w:rPr>
          <w:rFonts w:ascii="Arial Unicode MS" w:hAnsi="Arial Unicode MS"/>
          <w:outline w:val="0"/>
          <w:color w:val="536467"/>
          <w:sz w:val="21"/>
          <w:szCs w:val="21"/>
          <w:u w:color="536467"/>
          <w:rtl w:val="0"/>
          <w14:textFill>
            <w14:solidFill>
              <w14:srgbClr w14:val="536467"/>
            </w14:solidFill>
          </w14:textFill>
        </w:rPr>
        <w:t xml:space="preserve"> |</w:t>
      </w:r>
      <w:r>
        <w:rPr>
          <w:rFonts w:ascii="Arial Unicode MS" w:hAnsi="Arial Unicode MS"/>
          <w:outline w:val="0"/>
          <w:color w:val="536467"/>
          <w:sz w:val="21"/>
          <w:szCs w:val="21"/>
          <w:u w:color="536467"/>
          <w:rtl w:val="0"/>
          <w:lang w:val="en-US"/>
          <w14:textFill>
            <w14:solidFill>
              <w14:srgbClr w14:val="536467"/>
            </w14:solidFill>
          </w14:textFill>
        </w:rPr>
        <w:t xml:space="preserve"> Rome Ye</w:t>
      </w:r>
      <w:r>
        <w:rPr>
          <w:rFonts w:ascii="Arial Unicode MS" w:cs="Arial Unicode MS" w:hAnsi="Arial Unicode MS" w:eastAsia="Arial Unicode MS"/>
          <w:outline w:val="0"/>
          <w:color w:val="536467"/>
          <w:sz w:val="21"/>
          <w:szCs w:val="21"/>
          <w:u w:color="536467"/>
          <w14:textFill>
            <w14:solidFill>
              <w14:srgbClr w14:val="536467"/>
            </w14:solidFill>
          </w14:textFill>
        </w:rPr>
        <w:br w:type="textWrapping"/>
      </w:r>
    </w:p>
    <w:p>
      <w:pPr>
        <w:pStyle w:val="Body"/>
        <w:bidi w:val="0"/>
      </w:pPr>
      <w:r>
        <w:rPr>
          <w:rFonts w:ascii="Arial Unicode MS" w:hAnsi="Arial Unicode MS"/>
          <w:rtl w:val="0"/>
          <w:lang w:val="en-US"/>
        </w:rPr>
        <w:t>The following revisions clarify responsibilities, reduce execution gaps, and support the timely delivery of the website, CRM, event representation, and academic outreach.</w:t>
      </w:r>
    </w:p>
    <w:p>
      <w:pPr>
        <w:pStyle w:val="Heading"/>
      </w:pPr>
      <w:r>
        <w:rPr>
          <w:rtl w:val="0"/>
          <w:lang w:val="en-US"/>
        </w:rPr>
        <w:t>I. Revisions to Existing Terms</w:t>
      </w:r>
    </w:p>
    <w:p>
      <w:pPr>
        <w:pStyle w:val="Heading 2"/>
      </w:pPr>
      <w:r>
        <w:rPr>
          <w:rtl w:val="0"/>
          <w:lang w:val="en-US"/>
        </w:rPr>
        <w:t>1. Project Overview</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The Services include a one-time bilingual optimization of the Company</w:t>
      </w:r>
      <w:r>
        <w:rPr>
          <w:rFonts w:ascii="Aptos" w:cs="Aptos" w:hAnsi="Aptos" w:eastAsia="Aptos"/>
          <w:b w:val="1"/>
          <w:bCs w:val="1"/>
          <w:outline w:val="0"/>
          <w:color w:val="273436"/>
          <w:sz w:val="19"/>
          <w:szCs w:val="19"/>
          <w:u w:color="273436"/>
          <w:rtl w:val="1"/>
          <w14:textFill>
            <w14:solidFill>
              <w14:srgbClr w14:val="273436"/>
            </w14:solidFill>
          </w14:textFill>
        </w:rPr>
        <w:t>’</w:t>
      </w:r>
      <w:r>
        <w:rPr>
          <w:rFonts w:ascii="Aptos" w:cs="Aptos" w:hAnsi="Aptos" w:eastAsia="Aptos"/>
          <w:b w:val="1"/>
          <w:bCs w:val="1"/>
          <w:outline w:val="0"/>
          <w:color w:val="273436"/>
          <w:sz w:val="19"/>
          <w:szCs w:val="19"/>
          <w:u w:color="273436"/>
          <w:rtl w:val="0"/>
          <w:lang w:val="en-US"/>
          <w14:textFill>
            <w14:solidFill>
              <w14:srgbClr w14:val="273436"/>
            </w14:solidFill>
          </w14:textFill>
        </w:rPr>
        <w:t>s website, setup of a basic CRM lead-management workflow, documented academic outreach, FUTEX representation, and demo logistics within the scope stated in this SOW. Academic outreach will be evaluated based on the documented actions and deliverables completed by the Contractor, while third-party responses, partnerships, grant eligibility, grant approval, and funding remain external outcomes.</w:t>
      </w:r>
    </w:p>
    <w:p>
      <w:pPr>
        <w:pStyle w:val="Heading 2"/>
      </w:pPr>
      <w:r>
        <w:rPr>
          <w:rtl w:val="0"/>
          <w:lang w:val="en-US"/>
        </w:rPr>
        <w:t>2. Team Roles and Responsibilities</w:t>
      </w:r>
    </w:p>
    <w:p>
      <w:pPr>
        <w:pStyle w:val="Heading 2"/>
      </w:pPr>
      <w:r>
        <w:rPr>
          <w:outline w:val="0"/>
          <w:color w:val="000000"/>
          <w:u w:color="000000"/>
          <w:rtl w:val="0"/>
          <w:lang w:val="en-US"/>
          <w14:textFill>
            <w14:solidFill>
              <w14:srgbClr w14:val="000000"/>
            </w14:solidFill>
          </w14:textFill>
        </w:rPr>
        <w:t>Use the following Contractor title consistently throughout the SOW:</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Independent Marketing Coordinator</w:t>
      </w:r>
    </w:p>
    <w:p>
      <w:pPr>
        <w:pStyle w:val="Heading 2"/>
      </w:pPr>
      <w:r>
        <w:rPr>
          <w:outline w:val="0"/>
          <w:color w:val="000000"/>
          <w:u w:color="000000"/>
          <w:rtl w:val="0"/>
          <w:lang w:val="en-US"/>
          <w14:textFill>
            <w14:solidFill>
              <w14:srgbClr w14:val="000000"/>
            </w14:solidFill>
          </w14:textFill>
        </w:rPr>
        <w:t>Add:</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ThermoVerse Inc. shall provide all required brand assets, approved technical information, website access, account access, privacy-policy content, demo instructions, venue credentials, and consolidated approvals according to the agreed schedule. The Company is responsible for the accuracy and substantiation of all technical, regulatory, product-performance, grant-related, and marketing claims supplied or approved by the Company.</w:t>
      </w:r>
    </w:p>
    <w:p>
      <w:pPr>
        <w:pStyle w:val="Heading 2"/>
      </w:pPr>
      <w:r>
        <w:rPr>
          <w:rtl w:val="0"/>
          <w:lang w:val="en-US"/>
        </w:rPr>
        <w:t>3.A Logistics &amp; Equipment Handling</w:t>
      </w:r>
    </w:p>
    <w:p>
      <w:pPr>
        <w:pStyle w:val="Heading 2"/>
      </w:pPr>
      <w:r>
        <w:rPr>
          <w:outline w:val="0"/>
          <w:color w:val="000000"/>
          <w:u w:color="000000"/>
          <w:rtl w:val="0"/>
          <w:lang w:val="en-US"/>
          <w14:textFill>
            <w14:solidFill>
              <w14:srgbClr w14:val="000000"/>
            </w14:solidFill>
          </w14:textFill>
        </w:rPr>
        <w:t>Add:</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Before pickup, the Company shall provide an equipment inventory, photographs, declared replacement value, dimensions, weight, handling instructions, operating instructions, and disclosure of any special transportation requirements. The parties shall document the condition of the demo container at pickup and return to ensure a clear and efficient handover. The Contractor will be responsible for loss or damage caused by the Contractor</w:t>
      </w:r>
      <w:r>
        <w:rPr>
          <w:rFonts w:ascii="Aptos" w:cs="Aptos" w:hAnsi="Aptos" w:eastAsia="Aptos"/>
          <w:b w:val="1"/>
          <w:bCs w:val="1"/>
          <w:outline w:val="0"/>
          <w:color w:val="273436"/>
          <w:sz w:val="19"/>
          <w:szCs w:val="19"/>
          <w:u w:color="273436"/>
          <w:rtl w:val="1"/>
          <w14:textFill>
            <w14:solidFill>
              <w14:srgbClr w14:val="273436"/>
            </w14:solidFill>
          </w14:textFill>
        </w:rPr>
        <w:t>’</w:t>
      </w:r>
      <w:r>
        <w:rPr>
          <w:rFonts w:ascii="Aptos" w:cs="Aptos" w:hAnsi="Aptos" w:eastAsia="Aptos"/>
          <w:b w:val="1"/>
          <w:bCs w:val="1"/>
          <w:outline w:val="0"/>
          <w:color w:val="273436"/>
          <w:sz w:val="19"/>
          <w:szCs w:val="19"/>
          <w:u w:color="273436"/>
          <w:rtl w:val="0"/>
          <w:lang w:val="en-US"/>
          <w14:textFill>
            <w14:solidFill>
              <w14:srgbClr w14:val="273436"/>
            </w14:solidFill>
          </w14:textFill>
        </w:rPr>
        <w:t>s willful misconduct or gross negligence. Inherent defects, normal wear and tear, inadequate packaging, and undisclosed hazards will remain the Company</w:t>
      </w:r>
      <w:r>
        <w:rPr>
          <w:rFonts w:ascii="Aptos" w:cs="Aptos" w:hAnsi="Aptos" w:eastAsia="Aptos"/>
          <w:b w:val="1"/>
          <w:bCs w:val="1"/>
          <w:outline w:val="0"/>
          <w:color w:val="273436"/>
          <w:sz w:val="19"/>
          <w:szCs w:val="19"/>
          <w:u w:color="273436"/>
          <w:rtl w:val="1"/>
          <w14:textFill>
            <w14:solidFill>
              <w14:srgbClr w14:val="273436"/>
            </w14:solidFill>
          </w14:textFill>
        </w:rPr>
        <w:t>’</w:t>
      </w:r>
      <w:r>
        <w:rPr>
          <w:rFonts w:ascii="Aptos" w:cs="Aptos" w:hAnsi="Aptos" w:eastAsia="Aptos"/>
          <w:b w:val="1"/>
          <w:bCs w:val="1"/>
          <w:outline w:val="0"/>
          <w:color w:val="273436"/>
          <w:sz w:val="19"/>
          <w:szCs w:val="19"/>
          <w:u w:color="273436"/>
          <w:rtl w:val="0"/>
          <w:lang w:val="en-US"/>
          <w14:textFill>
            <w14:solidFill>
              <w14:srgbClr w14:val="273436"/>
            </w14:solidFill>
          </w14:textFill>
        </w:rPr>
        <w:t>s responsibility.</w:t>
      </w:r>
    </w:p>
    <w:p>
      <w:pPr>
        <w:pStyle w:val="Heading 2"/>
      </w:pPr>
      <w:r>
        <w:rPr>
          <w:rtl w:val="0"/>
          <w:lang w:val="it-IT"/>
        </w:rPr>
        <w:t>3.B Expo Representation</w:t>
      </w:r>
    </w:p>
    <w:p>
      <w:pPr>
        <w:pStyle w:val="Heading 2"/>
      </w:pPr>
      <w:r>
        <w:rPr>
          <w:outline w:val="0"/>
          <w:color w:val="000000"/>
          <w:u w:color="000000"/>
          <w:rtl w:val="0"/>
          <w:lang w:val="en-US"/>
          <w14:textFill>
            <w14:solidFill>
              <w14:srgbClr w14:val="000000"/>
            </w14:solidFill>
          </w14:textFill>
        </w:rPr>
        <w:t>Add:</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The day rate covers attendance from 9:00 AM to 5:30 PM Taiwan Time, including reasonable meal and rest breaks. Work requested outside these hours, separate setup or teardown work, or additional event days requires prior written approval and a mutually agreed additional fee. The Company shall provide or pay for required exhibitor credentials, booth access, electricity, internet access, and display equipment.</w:t>
      </w:r>
    </w:p>
    <w:p>
      <w:pPr>
        <w:pStyle w:val="Heading 2"/>
      </w:pPr>
      <w:r>
        <w:rPr>
          <w:rtl w:val="0"/>
          <w:lang w:val="en-US"/>
        </w:rPr>
        <w:t>3.C Targeted Academic Matchmaking &amp; Outreach</w:t>
      </w:r>
    </w:p>
    <w:p>
      <w:pPr>
        <w:pStyle w:val="Heading 2"/>
      </w:pPr>
      <w:r>
        <w:rPr>
          <w:outline w:val="0"/>
          <w:color w:val="000000"/>
          <w:u w:color="000000"/>
          <w:rtl w:val="0"/>
          <w:lang w:val="en-US"/>
          <w14:textFill>
            <w14:solidFill>
              <w14:srgbClr w14:val="000000"/>
            </w14:solidFill>
          </w14:textFill>
        </w:rPr>
        <w:t>Replace with:</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The Contractor will make documented outreach efforts to the three academic contacts identified by the Company. Completion will be measured by sending Company-approved messages, making reasonable on-site contact attempts where feasible, and delivering a written activity and response summary. Recipient responses, meetings, partnerships, grant qualification, and funding will be treated as follow-up opportunities rather than required deliverables.</w:t>
      </w:r>
    </w:p>
    <w:p>
      <w:pPr>
        <w:pStyle w:val="Heading 2"/>
      </w:pPr>
      <w:r>
        <w:rPr>
          <w:outline w:val="0"/>
          <w:color w:val="000000"/>
          <w:u w:color="000000"/>
          <w:rtl w:val="0"/>
          <w:lang w:val="en-US"/>
          <w14:textFill>
            <w14:solidFill>
              <w14:srgbClr w14:val="000000"/>
            </w14:solidFill>
          </w14:textFill>
        </w:rPr>
        <w:t>Add:</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All recipient information, technical claims, grant references, talking points, and final outreach messages must be approved in writing by the Company before use.</w:t>
      </w:r>
    </w:p>
    <w:p>
      <w:pPr>
        <w:pStyle w:val="Heading 2"/>
      </w:pPr>
      <w:r>
        <w:rPr>
          <w:rtl w:val="0"/>
          <w:lang w:val="en-US"/>
        </w:rPr>
        <w:t>3.D Website Optimization &amp; CRM Integration</w:t>
      </w:r>
    </w:p>
    <w:p>
      <w:pPr>
        <w:pStyle w:val="Heading 2"/>
      </w:pPr>
      <w:r>
        <w:rPr>
          <w:outline w:val="0"/>
          <w:color w:val="000000"/>
          <w:u w:color="000000"/>
          <w:rtl w:val="0"/>
          <w:lang w:val="en-US"/>
          <w14:textFill>
            <w14:solidFill>
              <w14:srgbClr w14:val="000000"/>
            </w14:solidFill>
          </w14:textFill>
        </w:rPr>
        <w:t>Replace the delivery schedule with:</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All dates and deadlines under this SOW are based on Taiwan Time (UTC+8). The Contractor will provide the first review version on September 11, 2026, the second review version on September 13, 2026, and the final deliverable on September 15, 2026. The final deliverable includes the bilingual website and basic CRM within the scope stated in this SOW. To keep the project on schedule, delays in required content, approvals, credentials, access, or third-party services will result in a corresponding schedule adjustment unless the parties agree in writing to reprioritize the scope.</w:t>
      </w:r>
    </w:p>
    <w:p>
      <w:pPr>
        <w:pStyle w:val="Heading 2"/>
      </w:pPr>
      <w:r>
        <w:rPr>
          <w:outline w:val="0"/>
          <w:color w:val="000000"/>
          <w:u w:color="000000"/>
          <w:rtl w:val="0"/>
          <w:lang w:val="en-US"/>
          <w14:textFill>
            <w14:solidFill>
              <w14:srgbClr w14:val="000000"/>
            </w14:solidFill>
          </w14:textFill>
        </w:rPr>
        <w:t>Replace the website scope with:</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The website scope is limited to five page types</w:t>
      </w:r>
      <w:r>
        <w:rPr>
          <w:rFonts w:ascii="Aptos" w:cs="Aptos" w:hAnsi="Aptos" w:eastAsia="Aptos"/>
          <w:b w:val="1"/>
          <w:bCs w:val="1"/>
          <w:outline w:val="0"/>
          <w:color w:val="273436"/>
          <w:sz w:val="19"/>
          <w:szCs w:val="19"/>
          <w:u w:color="273436"/>
          <w:rtl w:val="0"/>
          <w:lang w:val="en-US"/>
          <w14:textFill>
            <w14:solidFill>
              <w14:srgbClr w14:val="273436"/>
            </w14:solidFill>
          </w14:textFill>
        </w:rPr>
        <w:t>—</w:t>
      </w:r>
      <w:r>
        <w:rPr>
          <w:rFonts w:ascii="Aptos" w:cs="Aptos" w:hAnsi="Aptos" w:eastAsia="Aptos"/>
          <w:b w:val="1"/>
          <w:bCs w:val="1"/>
          <w:outline w:val="0"/>
          <w:color w:val="273436"/>
          <w:sz w:val="19"/>
          <w:szCs w:val="19"/>
          <w:u w:color="273436"/>
          <w:rtl w:val="0"/>
          <w:lang w:val="en-US"/>
          <w14:textFill>
            <w14:solidFill>
              <w14:srgbClr w14:val="273436"/>
            </w14:solidFill>
          </w14:textFill>
        </w:rPr>
        <w:t>Home, Technology, Use Cases, About Us including FACES, and Contact Us</w:t>
      </w:r>
      <w:r>
        <w:rPr>
          <w:rFonts w:ascii="Aptos" w:cs="Aptos" w:hAnsi="Aptos" w:eastAsia="Aptos"/>
          <w:b w:val="1"/>
          <w:bCs w:val="1"/>
          <w:outline w:val="0"/>
          <w:color w:val="273436"/>
          <w:sz w:val="19"/>
          <w:szCs w:val="19"/>
          <w:u w:color="273436"/>
          <w:rtl w:val="0"/>
          <w:lang w:val="en-US"/>
          <w14:textFill>
            <w14:solidFill>
              <w14:srgbClr w14:val="273436"/>
            </w14:solidFill>
          </w14:textFill>
        </w:rPr>
        <w:t>—</w:t>
      </w:r>
      <w:r>
        <w:rPr>
          <w:rFonts w:ascii="Aptos" w:cs="Aptos" w:hAnsi="Aptos" w:eastAsia="Aptos"/>
          <w:b w:val="1"/>
          <w:bCs w:val="1"/>
          <w:outline w:val="0"/>
          <w:color w:val="273436"/>
          <w:sz w:val="19"/>
          <w:szCs w:val="19"/>
          <w:u w:color="273436"/>
          <w:rtl w:val="0"/>
          <w:lang w:val="en-US"/>
          <w14:textFill>
            <w14:solidFill>
              <w14:srgbClr w14:val="273436"/>
            </w14:solidFill>
          </w14:textFill>
        </w:rPr>
        <w:t>in Traditional Chinese and English, for a total of ten localized pages. The fee includes responsive desktop and mobile layouts, basic page titles and meta descriptions, correction of identified broken navigation links, up to three consolidated revision rounds, deployment, and a basic handover guide. New page types, custom applications, additional revisions, ongoing maintenance, paid software, hosting, domain, stock media, and third-party subscription fees are excluded unless separately agreed in writing.</w:t>
      </w:r>
    </w:p>
    <w:p>
      <w:pPr>
        <w:pStyle w:val="Heading 2"/>
      </w:pPr>
      <w:r>
        <w:rPr>
          <w:outline w:val="0"/>
          <w:color w:val="000000"/>
          <w:u w:color="000000"/>
          <w:rtl w:val="0"/>
          <w:lang w:val="en-US"/>
          <w14:textFill>
            <w14:solidFill>
              <w14:srgbClr w14:val="000000"/>
            </w14:solidFill>
          </w14:textFill>
        </w:rPr>
        <w:t>Keep the current technical wording for the Home and Technology pages unchanged at this stage. Add the following pre-publication approval process:</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The technical and product-related wording in this SOW will remain unchanged at this stage. Before publication or external use, the Contractor and the Company will review and confirm all technical terminology, product-performance figures, safety statements, code-compliance statements, BACnet references, comparisons with chemical BESS, energy-saving claims, emissions-reduction statements, and carbon-credit wording. Such content may be published only after the Company provides written approval of the final wording.</w:t>
      </w:r>
    </w:p>
    <w:p>
      <w:pPr>
        <w:pStyle w:val="Heading 2"/>
      </w:pPr>
      <w:r>
        <w:rPr>
          <w:outline w:val="0"/>
          <w:color w:val="000000"/>
          <w:u w:color="000000"/>
          <w:rtl w:val="0"/>
          <w:lang w:val="en-US"/>
          <w14:textFill>
            <w14:solidFill>
              <w14:srgbClr w14:val="000000"/>
            </w14:solidFill>
          </w14:textFill>
        </w:rPr>
        <w:t>Replace the Use Cases provision with:</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The Use Cases page will invite commercial-building, industrial-site, and multifamily-property stakeholders to apply as potential POC site partners. Submission of an inquiry does not create a POC agreement. POC scope, schedule, equipment, data access, costs, confidentiality, measurement methods, publicity rights, and each party</w:t>
      </w:r>
      <w:r>
        <w:rPr>
          <w:rFonts w:ascii="Aptos" w:cs="Aptos" w:hAnsi="Aptos" w:eastAsia="Aptos"/>
          <w:b w:val="1"/>
          <w:bCs w:val="1"/>
          <w:outline w:val="0"/>
          <w:color w:val="273436"/>
          <w:sz w:val="19"/>
          <w:szCs w:val="19"/>
          <w:u w:color="273436"/>
          <w:rtl w:val="1"/>
          <w14:textFill>
            <w14:solidFill>
              <w14:srgbClr w14:val="273436"/>
            </w14:solidFill>
          </w14:textFill>
        </w:rPr>
        <w:t>’</w:t>
      </w:r>
      <w:r>
        <w:rPr>
          <w:rFonts w:ascii="Aptos" w:cs="Aptos" w:hAnsi="Aptos" w:eastAsia="Aptos"/>
          <w:b w:val="1"/>
          <w:bCs w:val="1"/>
          <w:outline w:val="0"/>
          <w:color w:val="273436"/>
          <w:sz w:val="19"/>
          <w:szCs w:val="19"/>
          <w:u w:color="273436"/>
          <w:rtl w:val="0"/>
          <w:lang w:val="en-US"/>
          <w14:textFill>
            <w14:solidFill>
              <w14:srgbClr w14:val="273436"/>
            </w14:solidFill>
          </w14:textFill>
        </w:rPr>
        <w:t>s responsibilities will be agreed separately in writing.</w:t>
      </w:r>
    </w:p>
    <w:p>
      <w:pPr>
        <w:pStyle w:val="Heading 2"/>
      </w:pPr>
      <w:r>
        <w:rPr>
          <w:outline w:val="0"/>
          <w:color w:val="000000"/>
          <w:u w:color="000000"/>
          <w:rtl w:val="0"/>
          <w14:textFill>
            <w14:solidFill>
              <w14:srgbClr w14:val="000000"/>
            </w14:solidFill>
          </w14:textFill>
        </w:rPr>
        <w:t>CTA:</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Apply as a POC Site Partner</w:t>
      </w:r>
    </w:p>
    <w:p>
      <w:pPr>
        <w:pStyle w:val="Heading 2"/>
      </w:pPr>
      <w:r>
        <w:rPr>
          <w:outline w:val="0"/>
          <w:color w:val="000000"/>
          <w:u w:color="000000"/>
          <w:rtl w:val="0"/>
          <w:lang w:val="en-US"/>
          <w14:textFill>
            <w14:solidFill>
              <w14:srgbClr w14:val="000000"/>
            </w14:solidFill>
          </w14:textFill>
        </w:rPr>
        <w:t>Replace the CRM provision with:</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The basic CRM scope includes a lead list, lead-detail records, inquiry type, source page, website language, submission time, follow-up status, notes, search, filtering, CSV export, and notification to a Company-designated email address. The Company will own and administer the production account and submitted lead data. Third-party fees, marketing automation, quotation management, advanced sales pipelines, custom integrations, historical-data migration, and ongoing CRM administration are excluded.</w:t>
      </w:r>
    </w:p>
    <w:p>
      <w:pPr>
        <w:pStyle w:val="Heading 2"/>
      </w:pPr>
      <w:r>
        <w:rPr>
          <w:outline w:val="0"/>
          <w:color w:val="000000"/>
          <w:u w:color="000000"/>
          <w:rtl w:val="0"/>
          <w:lang w:val="en-US"/>
          <w14:textFill>
            <w14:solidFill>
              <w14:srgbClr w14:val="000000"/>
            </w14:solidFill>
          </w14:textFill>
        </w:rPr>
        <w:t>Remove the CRM platform-selection requirement and selection deadline.</w:t>
      </w:r>
    </w:p>
    <w:p>
      <w:pPr>
        <w:pStyle w:val="Heading 2"/>
      </w:pPr>
      <w:r>
        <w:rPr>
          <w:rtl w:val="0"/>
          <w:lang w:val="en-US"/>
        </w:rPr>
        <w:t xml:space="preserve">Payment Terms </w:t>
      </w:r>
      <w:r>
        <w:rPr>
          <w:rtl w:val="0"/>
          <w:lang w:val="en-US"/>
        </w:rPr>
        <w:t xml:space="preserve">— </w:t>
      </w:r>
      <w:r>
        <w:rPr>
          <w:rtl w:val="0"/>
          <w:lang w:val="de-DE"/>
        </w:rPr>
        <w:t>1. Compensation Structure</w:t>
      </w:r>
    </w:p>
    <w:p>
      <w:pPr>
        <w:pStyle w:val="Heading 2"/>
      </w:pPr>
      <w:r>
        <w:rPr>
          <w:outline w:val="0"/>
          <w:color w:val="000000"/>
          <w:u w:color="000000"/>
          <w:rtl w:val="0"/>
          <w:lang w:val="en-US"/>
          <w14:textFill>
            <w14:solidFill>
              <w14:srgbClr w14:val="000000"/>
            </w14:solidFill>
          </w14:textFill>
        </w:rPr>
        <w:t>Add:</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Compensation is based on the deliverables and exclusions stated in this SOW. Requests outside the stated scope require a written change order specifying the additional fee and schedule before work begins.</w:t>
      </w:r>
    </w:p>
    <w:p>
      <w:pPr>
        <w:pStyle w:val="Heading 2"/>
      </w:pPr>
      <w:r>
        <w:rPr>
          <w:rtl w:val="0"/>
          <w:lang w:val="en-US"/>
        </w:rPr>
        <w:t xml:space="preserve">Payment Terms </w:t>
      </w:r>
      <w:r>
        <w:rPr>
          <w:rtl w:val="0"/>
          <w:lang w:val="en-US"/>
        </w:rPr>
        <w:t xml:space="preserve">— </w:t>
      </w:r>
      <w:r>
        <w:rPr>
          <w:rtl w:val="0"/>
          <w:lang w:val="en-US"/>
        </w:rPr>
        <w:t>2. Expense Reimbursement</w:t>
      </w:r>
    </w:p>
    <w:p>
      <w:pPr>
        <w:pStyle w:val="Heading 2"/>
      </w:pPr>
      <w:r>
        <w:rPr>
          <w:outline w:val="0"/>
          <w:color w:val="000000"/>
          <w:u w:color="000000"/>
          <w:rtl w:val="0"/>
          <w:lang w:val="en-US"/>
          <w14:textFill>
            <w14:solidFill>
              <w14:srgbClr w14:val="000000"/>
            </w14:solidFill>
          </w14:textFill>
        </w:rPr>
        <w:t>Replace with:</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The Company will reimburse reasonable and necessary expenses approved in writing before they are incurred. Reimbursable expenses include demo transportation, required courier or special-vehicle charges, approved storage or packaging materials, event-related local transportation and parking, and other expenses authorized by the Company. Valid digital receipts must be submitted with the applicable invoice.</w:t>
      </w:r>
    </w:p>
    <w:p>
      <w:pPr>
        <w:pStyle w:val="Heading 2"/>
      </w:pPr>
      <w:r>
        <w:rPr>
          <w:rtl w:val="0"/>
          <w:lang w:val="en-US"/>
        </w:rPr>
        <w:t xml:space="preserve">Payment Terms </w:t>
      </w:r>
      <w:r>
        <w:rPr>
          <w:rtl w:val="0"/>
          <w:lang w:val="en-US"/>
        </w:rPr>
        <w:t xml:space="preserve">— </w:t>
      </w:r>
      <w:r>
        <w:rPr>
          <w:rtl w:val="0"/>
          <w:lang w:val="en-US"/>
        </w:rPr>
        <w:t>3. Invoicing and Payment Schedule</w:t>
      </w:r>
    </w:p>
    <w:p>
      <w:pPr>
        <w:pStyle w:val="Heading 2"/>
      </w:pPr>
      <w:r>
        <w:rPr>
          <w:outline w:val="0"/>
          <w:color w:val="000000"/>
          <w:u w:color="000000"/>
          <w:rtl w:val="0"/>
          <w:lang w:val="en-US"/>
          <w14:textFill>
            <w14:solidFill>
              <w14:srgbClr w14:val="000000"/>
            </w14:solidFill>
          </w14:textFill>
        </w:rPr>
        <w:t>Replace with:</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The Contractor may invoice US$675 upon delivery and acceptance of the bilingual website, basic CRM, and documented academic outreach deliverables. The Contractor may invoice US$525 upon completion of the three FUTEX attendance days. Approved expenses may be included in the applicable invoice or a separate final expense invoice. Each undisputed invoice is payable within 30 calendar days of receipt (Net 30). The Company must identify disputed items in writing within five business days and timely pay all undisputed amounts. The Company will bear outgoing and intermediary wire-transfer fees. Any legally required withholding must be documented and the applicable tax certificate provided to the Contractor.</w:t>
      </w:r>
    </w:p>
    <w:p>
      <w:pPr>
        <w:pStyle w:val="Heading 2"/>
      </w:pPr>
      <w:r>
        <w:rPr>
          <w:rtl w:val="0"/>
          <w:lang w:val="da-DK"/>
        </w:rPr>
        <w:t>Appendix A</w:t>
      </w:r>
    </w:p>
    <w:p>
      <w:pPr>
        <w:pStyle w:val="Heading 2"/>
      </w:pPr>
      <w:r>
        <w:rPr>
          <w:outline w:val="0"/>
          <w:color w:val="000000"/>
          <w:u w:color="000000"/>
          <w:rtl w:val="0"/>
          <w:lang w:val="en-US"/>
          <w14:textFill>
            <w14:solidFill>
              <w14:srgbClr w14:val="000000"/>
            </w14:solidFill>
          </w14:textFill>
        </w:rPr>
        <w:t>Keep the email content unchanged at this stage. Add the following pre-send approval process:</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The email content in Appendix A will remain unchanged at this stage. Before any email is sent, the Contractor and the Company will review and confirm the recipient information, technical statements, grant references, timing references, and final email content. Emails may be sent only after the Company provides written approval of the final version.</w:t>
      </w:r>
    </w:p>
    <w:p>
      <w:pPr>
        <w:pStyle w:val="Heading 2"/>
      </w:pPr>
      <w:r>
        <w:rPr>
          <w:rtl w:val="0"/>
          <w:lang w:val="en-US"/>
        </w:rPr>
        <w:t>Signatures and Formatting</w:t>
      </w:r>
    </w:p>
    <w:p>
      <w:pPr>
        <w:pStyle w:val="List Paragraph"/>
        <w:numPr>
          <w:ilvl w:val="0"/>
          <w:numId w:val="2"/>
        </w:numPr>
        <w:spacing w:after="70"/>
        <w:rPr>
          <w:lang w:val="en-US"/>
        </w:rPr>
      </w:pPr>
      <w:r>
        <w:rPr>
          <w:rFonts w:ascii="Arial Unicode MS" w:hAnsi="Arial Unicode MS"/>
          <w:rtl w:val="0"/>
          <w:lang w:val="en-US"/>
        </w:rPr>
        <w:t>Add the Contractor</w:t>
      </w:r>
      <w:r>
        <w:rPr>
          <w:rFonts w:ascii="Arial Unicode MS" w:hAnsi="Arial Unicode MS" w:hint="default"/>
          <w:rtl w:val="1"/>
        </w:rPr>
        <w:t>’</w:t>
      </w:r>
      <w:r>
        <w:rPr>
          <w:rFonts w:ascii="Arial Unicode MS" w:hAnsi="Arial Unicode MS"/>
          <w:rtl w:val="0"/>
          <w:lang w:val="pt-PT"/>
        </w:rPr>
        <w:t>s legal name.</w:t>
      </w:r>
    </w:p>
    <w:p>
      <w:pPr>
        <w:pStyle w:val="List Paragraph"/>
        <w:numPr>
          <w:ilvl w:val="0"/>
          <w:numId w:val="2"/>
        </w:numPr>
        <w:spacing w:after="70"/>
        <w:rPr>
          <w:lang w:val="en-US"/>
        </w:rPr>
      </w:pPr>
      <w:r>
        <w:rPr>
          <w:rFonts w:ascii="Arial Unicode MS" w:hAnsi="Arial Unicode MS"/>
          <w:rtl w:val="0"/>
          <w:lang w:val="en-US"/>
        </w:rPr>
        <w:t xml:space="preserve">Use </w:t>
      </w:r>
      <w:r>
        <w:rPr>
          <w:rFonts w:ascii="Aptos Mono" w:cs="Aptos Mono" w:hAnsi="Aptos Mono" w:eastAsia="Aptos Mono"/>
          <w:outline w:val="0"/>
          <w:color w:val="0d7773"/>
          <w:u w:color="0d7773"/>
          <w:shd w:val="clear" w:color="auto" w:fill="e8f4f2"/>
          <w:rtl w:val="0"/>
          <w:lang w:val="en-US"/>
          <w14:textFill>
            <w14:solidFill>
              <w14:srgbClr w14:val="0D7773"/>
            </w14:solidFill>
          </w14:textFill>
        </w:rPr>
        <w:t>Independent Marketing Coordinator</w:t>
      </w:r>
      <w:r>
        <w:rPr>
          <w:rFonts w:ascii="Arial Unicode MS" w:hAnsi="Arial Unicode MS"/>
          <w:rtl w:val="0"/>
          <w:lang w:val="en-US"/>
        </w:rPr>
        <w:t xml:space="preserve"> consistently as the Contractor</w:t>
      </w:r>
      <w:r>
        <w:rPr>
          <w:rFonts w:ascii="Arial Unicode MS" w:hAnsi="Arial Unicode MS" w:hint="default"/>
          <w:rtl w:val="1"/>
        </w:rPr>
        <w:t>’</w:t>
      </w:r>
      <w:r>
        <w:rPr>
          <w:rFonts w:ascii="Arial Unicode MS" w:hAnsi="Arial Unicode MS"/>
          <w:rtl w:val="0"/>
          <w:lang w:val="en-US"/>
        </w:rPr>
        <w:t>s title.</w:t>
      </w:r>
    </w:p>
    <w:p>
      <w:pPr>
        <w:pStyle w:val="List Paragraph"/>
        <w:numPr>
          <w:ilvl w:val="0"/>
          <w:numId w:val="2"/>
        </w:numPr>
        <w:spacing w:after="70"/>
        <w:rPr>
          <w:lang w:val="en-US"/>
        </w:rPr>
      </w:pPr>
      <w:r>
        <w:rPr>
          <w:rFonts w:ascii="Arial Unicode MS" w:hAnsi="Arial Unicode MS"/>
          <w:rtl w:val="0"/>
          <w:lang w:val="en-US"/>
        </w:rPr>
        <w:t xml:space="preserve">Replace the opening reference with </w:t>
      </w:r>
      <w:r>
        <w:rPr>
          <w:rFonts w:ascii="Aptos Mono" w:cs="Aptos Mono" w:hAnsi="Aptos Mono" w:eastAsia="Aptos Mono"/>
          <w:outline w:val="0"/>
          <w:color w:val="0d7773"/>
          <w:u w:color="0d7773"/>
          <w:shd w:val="clear" w:color="auto" w:fill="e8f4f2"/>
          <w:rtl w:val="0"/>
          <w:lang w:val="en-US"/>
          <w14:textFill>
            <w14:solidFill>
              <w14:srgbClr w14:val="0D7773"/>
            </w14:solidFill>
          </w14:textFill>
        </w:rPr>
        <w:t xml:space="preserve">(hereinafter referred to as the </w:t>
      </w:r>
      <w:r>
        <w:rPr>
          <w:rFonts w:ascii="Aptos Mono" w:cs="Aptos Mono" w:hAnsi="Aptos Mono" w:eastAsia="Aptos Mono"/>
          <w:outline w:val="0"/>
          <w:color w:val="0d7773"/>
          <w:u w:color="0d7773"/>
          <w:shd w:val="clear" w:color="auto" w:fill="e8f4f2"/>
          <w:rtl w:val="1"/>
          <w:lang w:val="ar-SA" w:bidi="ar-SA"/>
          <w14:textFill>
            <w14:solidFill>
              <w14:srgbClr w14:val="0D7773"/>
            </w14:solidFill>
          </w14:textFill>
        </w:rPr>
        <w:t>“</w:t>
      </w:r>
      <w:r>
        <w:rPr>
          <w:rFonts w:ascii="Aptos Mono" w:cs="Aptos Mono" w:hAnsi="Aptos Mono" w:eastAsia="Aptos Mono"/>
          <w:outline w:val="0"/>
          <w:color w:val="0d7773"/>
          <w:u w:color="0d7773"/>
          <w:shd w:val="clear" w:color="auto" w:fill="e8f4f2"/>
          <w:rtl w:val="0"/>
          <w14:textFill>
            <w14:solidFill>
              <w14:srgbClr w14:val="0D7773"/>
            </w14:solidFill>
          </w14:textFill>
        </w:rPr>
        <w:t>Contractor</w:t>
      </w:r>
      <w:r>
        <w:rPr>
          <w:rFonts w:ascii="Aptos Mono" w:cs="Aptos Mono" w:hAnsi="Aptos Mono" w:eastAsia="Aptos Mono"/>
          <w:outline w:val="0"/>
          <w:color w:val="0d7773"/>
          <w:u w:color="0d7773"/>
          <w:shd w:val="clear" w:color="auto" w:fill="e8f4f2"/>
          <w:rtl w:val="0"/>
          <w14:textFill>
            <w14:solidFill>
              <w14:srgbClr w14:val="0D7773"/>
            </w14:solidFill>
          </w14:textFill>
        </w:rPr>
        <w:t>”</w:t>
      </w:r>
      <w:r>
        <w:rPr>
          <w:rFonts w:ascii="Aptos Mono" w:cs="Aptos Mono" w:hAnsi="Aptos Mono" w:eastAsia="Aptos Mono"/>
          <w:outline w:val="0"/>
          <w:color w:val="0d7773"/>
          <w:u w:color="0d7773"/>
          <w:shd w:val="clear" w:color="auto" w:fill="e8f4f2"/>
          <w:rtl w:val="0"/>
          <w14:textFill>
            <w14:solidFill>
              <w14:srgbClr w14:val="0D7773"/>
            </w14:solidFill>
          </w14:textFill>
        </w:rPr>
        <w:t>).</w:t>
      </w:r>
    </w:p>
    <w:p>
      <w:pPr>
        <w:pStyle w:val="List Paragraph"/>
        <w:numPr>
          <w:ilvl w:val="0"/>
          <w:numId w:val="2"/>
        </w:numPr>
        <w:spacing w:after="70"/>
        <w:rPr>
          <w:lang w:val="en-US"/>
        </w:rPr>
      </w:pPr>
      <w:r>
        <w:rPr>
          <w:rFonts w:ascii="Arial Unicode MS" w:hAnsi="Arial Unicode MS"/>
          <w:rtl w:val="0"/>
          <w:lang w:val="en-US"/>
        </w:rPr>
        <w:t xml:space="preserve">Replace </w:t>
      </w:r>
      <w:r>
        <w:rPr>
          <w:rFonts w:ascii="Aptos Mono" w:cs="Aptos Mono" w:hAnsi="Aptos Mono" w:eastAsia="Aptos Mono"/>
          <w:outline w:val="0"/>
          <w:color w:val="0d7773"/>
          <w:u w:color="0d7773"/>
          <w:shd w:val="clear" w:color="auto" w:fill="e8f4f2"/>
          <w:rtl w:val="0"/>
          <w:lang w:val="en-US"/>
          <w14:textFill>
            <w14:solidFill>
              <w14:srgbClr w14:val="0D7773"/>
            </w14:solidFill>
          </w14:textFill>
        </w:rPr>
        <w:t>Statement of work</w:t>
      </w:r>
      <w:r>
        <w:rPr>
          <w:rFonts w:ascii="Arial Unicode MS" w:hAnsi="Arial Unicode MS"/>
          <w:rtl w:val="0"/>
          <w:lang w:val="en-US"/>
        </w:rPr>
        <w:t xml:space="preserve"> with </w:t>
      </w:r>
      <w:r>
        <w:rPr>
          <w:rFonts w:ascii="Aptos Mono" w:cs="Aptos Mono" w:hAnsi="Aptos Mono" w:eastAsia="Aptos Mono"/>
          <w:outline w:val="0"/>
          <w:color w:val="0d7773"/>
          <w:u w:color="0d7773"/>
          <w:shd w:val="clear" w:color="auto" w:fill="e8f4f2"/>
          <w:rtl w:val="0"/>
          <w:lang w:val="en-US"/>
          <w14:textFill>
            <w14:solidFill>
              <w14:srgbClr w14:val="0D7773"/>
            </w14:solidFill>
          </w14:textFill>
        </w:rPr>
        <w:t>Statement of Work</w:t>
      </w:r>
      <w:r>
        <w:rPr>
          <w:rFonts w:ascii="Arial Unicode MS" w:hAnsi="Arial Unicode MS"/>
          <w:rtl w:val="0"/>
        </w:rPr>
        <w:t>.</w:t>
      </w:r>
    </w:p>
    <w:p>
      <w:pPr>
        <w:pStyle w:val="List Paragraph"/>
        <w:numPr>
          <w:ilvl w:val="0"/>
          <w:numId w:val="2"/>
        </w:numPr>
        <w:spacing w:after="70"/>
        <w:rPr>
          <w:lang w:val="en-US"/>
        </w:rPr>
      </w:pPr>
      <w:r>
        <w:rPr>
          <w:rFonts w:ascii="Arial Unicode MS" w:hAnsi="Arial Unicode MS"/>
          <w:rtl w:val="0"/>
          <w:lang w:val="en-US"/>
        </w:rPr>
        <w:t>Keep technical terminology and capitalization unchanged until confirmed by the Company.</w:t>
      </w:r>
    </w:p>
    <w:p>
      <w:pPr>
        <w:pStyle w:val="List Paragraph"/>
        <w:numPr>
          <w:ilvl w:val="0"/>
          <w:numId w:val="2"/>
        </w:numPr>
        <w:spacing w:after="70"/>
        <w:rPr>
          <w:lang w:val="en-US"/>
        </w:rPr>
      </w:pPr>
      <w:r>
        <w:rPr>
          <w:rFonts w:ascii="Arial Unicode MS" w:hAnsi="Arial Unicode MS"/>
          <w:rtl w:val="0"/>
          <w:lang w:val="en-US"/>
        </w:rPr>
        <w:t>Reformat the table split across page 1 and remove the excessive blank space on page 4.</w:t>
      </w:r>
    </w:p>
    <w:p>
      <w:pPr>
        <w:pStyle w:val="List Paragraph"/>
        <w:numPr>
          <w:ilvl w:val="0"/>
          <w:numId w:val="2"/>
        </w:numPr>
        <w:spacing w:after="70"/>
        <w:rPr>
          <w:lang w:val="en-US"/>
        </w:rPr>
      </w:pPr>
      <w:r>
        <w:rPr>
          <w:rFonts w:ascii="Arial Unicode MS" w:hAnsi="Arial Unicode MS"/>
          <w:rtl w:val="0"/>
          <w:lang w:val="en-US"/>
        </w:rPr>
        <w:t xml:space="preserve">If there is no master agreement, rename the document </w:t>
      </w:r>
      <w:r>
        <w:rPr>
          <w:rFonts w:ascii="Aptos Mono" w:cs="Aptos Mono" w:hAnsi="Aptos Mono" w:eastAsia="Aptos Mono"/>
          <w:outline w:val="0"/>
          <w:color w:val="0d7773"/>
          <w:u w:color="0d7773"/>
          <w:shd w:val="clear" w:color="auto" w:fill="e8f4f2"/>
          <w:rtl w:val="0"/>
          <w:lang w:val="en-US"/>
          <w14:textFill>
            <w14:solidFill>
              <w14:srgbClr w14:val="0D7773"/>
            </w14:solidFill>
          </w14:textFill>
        </w:rPr>
        <w:t>Independent Contractor Statement of Work</w:t>
      </w:r>
      <w:r>
        <w:rPr>
          <w:rFonts w:ascii="Arial Unicode MS" w:hAnsi="Arial Unicode MS"/>
          <w:rtl w:val="0"/>
          <w:lang w:val="en-US"/>
        </w:rPr>
        <w:t xml:space="preserve"> and remove the </w:t>
      </w:r>
      <w:r>
        <w:rPr>
          <w:rFonts w:ascii="Aptos Mono" w:cs="Aptos Mono" w:hAnsi="Aptos Mono" w:eastAsia="Aptos Mono"/>
          <w:outline w:val="0"/>
          <w:color w:val="0d7773"/>
          <w:u w:color="0d7773"/>
          <w:shd w:val="clear" w:color="auto" w:fill="e8f4f2"/>
          <w:rtl w:val="0"/>
          <w:lang w:val="en-US"/>
          <w14:textFill>
            <w14:solidFill>
              <w14:srgbClr w14:val="0D7773"/>
            </w14:solidFill>
          </w14:textFill>
        </w:rPr>
        <w:t>Exhibit A</w:t>
      </w:r>
      <w:r>
        <w:rPr>
          <w:rFonts w:ascii="Arial Unicode MS" w:hAnsi="Arial Unicode MS"/>
          <w:rtl w:val="0"/>
          <w:lang w:val="it-IT"/>
        </w:rPr>
        <w:t xml:space="preserve"> designation.</w:t>
      </w:r>
    </w:p>
    <w:p>
      <w:pPr>
        <w:pStyle w:val="Heading"/>
        <w:pageBreakBefore w:val="1"/>
      </w:pPr>
      <w:r>
        <w:rPr>
          <w:rtl w:val="0"/>
          <w:lang w:val="en-US"/>
        </w:rPr>
        <w:t>II. Additional Terms</w:t>
      </w:r>
    </w:p>
    <w:p>
      <w:pPr>
        <w:pStyle w:val="Heading 2"/>
      </w:pPr>
      <w:r>
        <w:rPr>
          <w:rtl w:val="0"/>
          <w:lang w:val="en-US"/>
        </w:rPr>
        <w:t>4. Review and Acceptance</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All review deadlines are based on Taiwan Time (UTC+8). The Contractor will provide review versions on September 11 and September 13, 2026, and the final version on September 15, 2026. The fee includes a maximum of three consolidated revision rounds. Each round begins when the Company submits one consolidated written feedback list and ends when the Contractor delivers the corresponding revised version. Delayed Company feedback will extend the following deadline by the corresponding delay. Material defects that cause the deliverable not to conform to the agreed scope will be corrected without counting as a revision round. New content, changed preferences, out-of-scope requests, and revisions beyond the three included rounds require a written change order.</w:t>
      </w:r>
    </w:p>
    <w:p>
      <w:pPr>
        <w:pStyle w:val="Heading 2"/>
      </w:pPr>
      <w:r>
        <w:rPr>
          <w:rtl w:val="0"/>
        </w:rPr>
        <w:t>5. Change Control</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Any change to the scope, deliverables, assumptions, schedule, or number of revisions must be agreed in writing by both parties. The Contractor is not required to begin out-of-scope work until the parties approve the corresponding fee and schedule adjustment.</w:t>
      </w:r>
    </w:p>
    <w:p>
      <w:pPr>
        <w:pStyle w:val="Heading 2"/>
      </w:pPr>
      <w:r>
        <w:rPr>
          <w:rtl w:val="0"/>
          <w:lang w:val="en-US"/>
        </w:rPr>
        <w:t>6. Company Dependencies and Delay</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The Company shall provide complete materials, access credentials, approved technical evidence, and consolidated feedback according to the agreed schedule. To preserve delivery quality and timing, Company or third-party delays will result in a corresponding schedule adjustment unless the parties agree in writing to reprioritize the scope.</w:t>
      </w:r>
    </w:p>
    <w:p>
      <w:pPr>
        <w:pStyle w:val="Heading 2"/>
      </w:pPr>
      <w:r>
        <w:rPr>
          <w:rtl w:val="0"/>
          <w:lang w:val="en-US"/>
        </w:rPr>
        <w:t>7. Intellectual Property</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Upon full payment, the Company will own the final website copy, page layouts, and project-specific CRM configuration created exclusively under this SOW. The Contractor retains ownership of pre-existing tools, templates, methods, know-how, and reusable components, while granting the Company a perpetual license to use components embedded in the final deliverables. The Company warrants that it has the right to use all materials it provides.</w:t>
      </w:r>
    </w:p>
    <w:p>
      <w:pPr>
        <w:pStyle w:val="Heading 2"/>
      </w:pPr>
      <w:r>
        <w:rPr>
          <w:rtl w:val="0"/>
          <w:lang w:val="en-US"/>
        </w:rPr>
        <w:t>8. Confidentiality and Personal Data</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Each party will protect non-public business, technical, credential, and personal information received from the other party and use it only to perform this SOW. The Company is responsible for approving the privacy notice, lawful collection purpose, retention period, access policy, and marketing-consent language. Upon completion, the Contractor will return or delete Company credentials and personal-data exports, except where retention is required by law.</w:t>
      </w:r>
    </w:p>
    <w:p>
      <w:pPr>
        <w:pStyle w:val="Heading 2"/>
      </w:pPr>
      <w:r>
        <w:rPr>
          <w:rtl w:val="0"/>
          <w:lang w:val="fr-FR"/>
        </w:rPr>
        <w:t>9. Cancellation, Termination, and Force Majeure</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Either party may terminate this SOW for material breach if the breach is not cured within five business days after written notice, where cure is reasonably possible. If FUTEX is cancelled, postponed, inaccessible, or materially disrupted for reasons outside the Contractor</w:t>
      </w:r>
      <w:r>
        <w:rPr>
          <w:rFonts w:ascii="Aptos" w:cs="Aptos" w:hAnsi="Aptos" w:eastAsia="Aptos"/>
          <w:b w:val="1"/>
          <w:bCs w:val="1"/>
          <w:outline w:val="0"/>
          <w:color w:val="273436"/>
          <w:sz w:val="19"/>
          <w:szCs w:val="19"/>
          <w:u w:color="273436"/>
          <w:rtl w:val="1"/>
          <w14:textFill>
            <w14:solidFill>
              <w14:srgbClr w14:val="273436"/>
            </w14:solidFill>
          </w14:textFill>
        </w:rPr>
        <w:t>’</w:t>
      </w:r>
      <w:r>
        <w:rPr>
          <w:rFonts w:ascii="Aptos" w:cs="Aptos" w:hAnsi="Aptos" w:eastAsia="Aptos"/>
          <w:b w:val="1"/>
          <w:bCs w:val="1"/>
          <w:outline w:val="0"/>
          <w:color w:val="273436"/>
          <w:sz w:val="19"/>
          <w:szCs w:val="19"/>
          <w:u w:color="273436"/>
          <w:rtl w:val="0"/>
          <w:lang w:val="en-US"/>
          <w14:textFill>
            <w14:solidFill>
              <w14:srgbClr w14:val="273436"/>
            </w14:solidFill>
          </w14:textFill>
        </w:rPr>
        <w:t>s control, the Company will pay for completed work, non-cancellable commitments, and approved expenses incurred through the cancellation date.</w:t>
      </w:r>
    </w:p>
    <w:p>
      <w:pPr>
        <w:pStyle w:val="Heading 2"/>
      </w:pPr>
      <w:r>
        <w:rPr>
          <w:rtl w:val="0"/>
          <w:lang w:val="en-US"/>
        </w:rPr>
        <w:t>10. Limitation of Responsibility</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To ensure that each party is responsible for matters within its control, third-party platform outages, venue decisions, recipient responses, grant outcomes, product defects, and Company-supplied claims and materials will remain outside the Contractor</w:t>
      </w:r>
      <w:r>
        <w:rPr>
          <w:rFonts w:ascii="Aptos" w:cs="Aptos" w:hAnsi="Aptos" w:eastAsia="Aptos"/>
          <w:b w:val="1"/>
          <w:bCs w:val="1"/>
          <w:outline w:val="0"/>
          <w:color w:val="273436"/>
          <w:sz w:val="19"/>
          <w:szCs w:val="19"/>
          <w:u w:color="273436"/>
          <w:rtl w:val="1"/>
          <w14:textFill>
            <w14:solidFill>
              <w14:srgbClr w14:val="273436"/>
            </w14:solidFill>
          </w14:textFill>
        </w:rPr>
        <w:t>’</w:t>
      </w:r>
      <w:r>
        <w:rPr>
          <w:rFonts w:ascii="Aptos" w:cs="Aptos" w:hAnsi="Aptos" w:eastAsia="Aptos"/>
          <w:b w:val="1"/>
          <w:bCs w:val="1"/>
          <w:outline w:val="0"/>
          <w:color w:val="273436"/>
          <w:sz w:val="19"/>
          <w:szCs w:val="19"/>
          <w:u w:color="273436"/>
          <w:rtl w:val="0"/>
          <w:lang w:val="en-US"/>
          <w14:textFill>
            <w14:solidFill>
              <w14:srgbClr w14:val="273436"/>
            </w14:solidFill>
          </w14:textFill>
        </w:rPr>
        <w:t>s responsibility. Except for willful misconduct, gross negligence, breach of confidentiality, or misuse of personal data, each party</w:t>
      </w:r>
      <w:r>
        <w:rPr>
          <w:rFonts w:ascii="Aptos" w:cs="Aptos" w:hAnsi="Aptos" w:eastAsia="Aptos"/>
          <w:b w:val="1"/>
          <w:bCs w:val="1"/>
          <w:outline w:val="0"/>
          <w:color w:val="273436"/>
          <w:sz w:val="19"/>
          <w:szCs w:val="19"/>
          <w:u w:color="273436"/>
          <w:rtl w:val="1"/>
          <w14:textFill>
            <w14:solidFill>
              <w14:srgbClr w14:val="273436"/>
            </w14:solidFill>
          </w14:textFill>
        </w:rPr>
        <w:t>’</w:t>
      </w:r>
      <w:r>
        <w:rPr>
          <w:rFonts w:ascii="Aptos" w:cs="Aptos" w:hAnsi="Aptos" w:eastAsia="Aptos"/>
          <w:b w:val="1"/>
          <w:bCs w:val="1"/>
          <w:outline w:val="0"/>
          <w:color w:val="273436"/>
          <w:sz w:val="19"/>
          <w:szCs w:val="19"/>
          <w:u w:color="273436"/>
          <w:rtl w:val="0"/>
          <w:lang w:val="en-US"/>
          <w14:textFill>
            <w14:solidFill>
              <w14:srgbClr w14:val="273436"/>
            </w14:solidFill>
          </w14:textFill>
        </w:rPr>
        <w:t>s aggregate liability arising from this SOW will not exceed the total fees paid or payable under this SOW.</w:t>
      </w:r>
    </w:p>
    <w:p>
      <w:pPr>
        <w:pStyle w:val="Heading 2"/>
      </w:pPr>
      <w:r>
        <w:rPr>
          <w:rtl w:val="0"/>
          <w:lang w:val="en-US"/>
        </w:rPr>
        <w:t>11. Governing Law and Jurisdiction</w:t>
      </w:r>
    </w:p>
    <w:p>
      <w:pPr>
        <w:pStyle w:val="Heading 2"/>
      </w:pPr>
      <w:r>
        <w:rPr>
          <w:rFonts w:ascii="Aptos" w:cs="Aptos" w:hAnsi="Aptos" w:eastAsia="Aptos"/>
          <w:b w:val="1"/>
          <w:bCs w:val="1"/>
          <w:outline w:val="0"/>
          <w:color w:val="273436"/>
          <w:sz w:val="19"/>
          <w:szCs w:val="19"/>
          <w:u w:color="273436"/>
          <w:rtl w:val="0"/>
          <w:lang w:val="en-US"/>
          <w14:textFill>
            <w14:solidFill>
              <w14:srgbClr w14:val="273436"/>
            </w14:solidFill>
          </w14:textFill>
        </w:rPr>
        <w:t>This SOW and any agreement incorporating it shall be governed by the laws of Taiwan (Republic of China), without regard to conflict-of-law principles. The parties agree that the Taiwan Taipei District Court shall have exclusive jurisdiction as the court of first instance over any dispute arising out of or relating to this SOW.</w:t>
      </w:r>
    </w:p>
    <w:sectPr>
      <w:headerReference w:type="default" r:id="rId4"/>
      <w:footerReference w:type="default" r:id="rId5"/>
      <w:pgSz w:w="11900" w:h="16840" w:orient="portrait"/>
      <w:pgMar w:top="1000" w:right="1050" w:bottom="900" w:left="105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Aptos Mon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6b7d7e"/>
        <w:sz w:val="16"/>
        <w:szCs w:val="16"/>
        <w:u w:color="6b7d7e"/>
        <w:rtl w:val="0"/>
        <w14:textFill>
          <w14:solidFill>
            <w14:srgbClr w14:val="6B7D7E"/>
          </w14:solidFill>
        </w14:textFill>
      </w:rPr>
      <w:t xml:space="preserve">2026.09.08  </w:t>
    </w:r>
    <w:r>
      <w:rPr>
        <w:outline w:val="0"/>
        <w:color w:val="6b7d7e"/>
        <w:sz w:val="16"/>
        <w:szCs w:val="16"/>
        <w:u w:color="6b7d7e"/>
        <w:rtl w:val="0"/>
        <w14:textFill>
          <w14:solidFill>
            <w14:srgbClr w14:val="6B7D7E"/>
          </w14:solidFill>
        </w14:textFill>
      </w:rPr>
      <w:t xml:space="preserve">·  </w:t>
    </w:r>
    <w:r>
      <w:rPr>
        <w:outline w:val="0"/>
        <w:color w:val="6b7d7e"/>
        <w:sz w:val="16"/>
        <w:szCs w:val="16"/>
        <w:u w:color="6b7d7e"/>
        <w14:textFill>
          <w14:solidFill>
            <w14:srgbClr w14:val="6B7D7E"/>
          </w14:solidFill>
        </w14:textFill>
      </w:rPr>
      <w:fldChar w:fldCharType="begin" w:fldLock="0"/>
    </w:r>
    <w:r>
      <w:rPr>
        <w:outline w:val="0"/>
        <w:color w:val="6b7d7e"/>
        <w:sz w:val="16"/>
        <w:szCs w:val="16"/>
        <w:u w:color="6b7d7e"/>
        <w14:textFill>
          <w14:solidFill>
            <w14:srgbClr w14:val="6B7D7E"/>
          </w14:solidFill>
        </w14:textFill>
      </w:rPr>
      <w:instrText xml:space="preserve"> PAGE </w:instrText>
    </w:r>
    <w:r>
      <w:rPr>
        <w:outline w:val="0"/>
        <w:color w:val="6b7d7e"/>
        <w:sz w:val="16"/>
        <w:szCs w:val="16"/>
        <w:u w:color="6b7d7e"/>
        <w14:textFill>
          <w14:solidFill>
            <w14:srgbClr w14:val="6B7D7E"/>
          </w14:solidFill>
        </w14:textFill>
      </w:rPr>
      <w:fldChar w:fldCharType="separate" w:fldLock="0"/>
    </w:r>
    <w:r>
      <w:rPr>
        <w:outline w:val="0"/>
        <w:color w:val="6b7d7e"/>
        <w:sz w:val="16"/>
        <w:szCs w:val="16"/>
        <w:u w:color="6b7d7e"/>
        <w14:textFill>
          <w14:solidFill>
            <w14:srgbClr w14:val="6B7D7E"/>
          </w14:solidFill>
        </w14:textFill>
      </w:rPr>
    </w:r>
    <w:r>
      <w:rPr>
        <w:outline w:val="0"/>
        <w:color w:val="6b7d7e"/>
        <w:sz w:val="16"/>
        <w:szCs w:val="16"/>
        <w:u w:color="6b7d7e"/>
        <w14:textFill>
          <w14:solidFill>
            <w14:srgbClr w14:val="6B7D7E"/>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Times New Roman" w:hAnsi="Times New Roman"/>
        <w:b w:val="1"/>
        <w:bCs w:val="1"/>
        <w:outline w:val="0"/>
        <w:color w:val="6b7d7e"/>
        <w:sz w:val="16"/>
        <w:szCs w:val="16"/>
        <w:u w:color="6b7d7e"/>
        <w:rtl w:val="0"/>
        <w:lang w:val="de-DE"/>
        <w14:textFill>
          <w14:solidFill>
            <w14:srgbClr w14:val="6B7D7E"/>
          </w14:solidFill>
        </w14:textFill>
      </w:rPr>
      <w:t>THERMOVERSE  |  SOW REVIEW</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500" w:hanging="2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500" w:hanging="2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500" w:hanging="2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500" w:hanging="2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500" w:hanging="2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500" w:hanging="2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0" w:hanging="2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00" w:hanging="2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500" w:hanging="2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pBdr>
        <w:top w:val="nil"/>
        <w:left w:val="nil"/>
        <w:bottom w:val="single" w:color="9dd8d3" w:sz="8" w:space="0" w:shadow="0" w:frame="0"/>
        <w:right w:val="nil"/>
      </w:pBdr>
      <w:shd w:val="clear" w:color="auto" w:fill="auto"/>
      <w:suppressAutoHyphens w:val="0"/>
      <w:bidi w:val="0"/>
      <w:spacing w:before="320" w:after="170" w:line="240" w:lineRule="auto"/>
      <w:ind w:left="0" w:right="0" w:firstLine="0"/>
      <w:jc w:val="left"/>
      <w:outlineLvl w:val="0"/>
    </w:pPr>
    <w:rPr>
      <w:rFonts w:ascii="Arial Unicode MS" w:cs="Arial Unicode MS" w:hAnsi="Arial Unicode MS" w:eastAsia="Arial Unicode MS"/>
      <w:b w:val="0"/>
      <w:bCs w:val="0"/>
      <w:i w:val="0"/>
      <w:iCs w:val="0"/>
      <w:caps w:val="0"/>
      <w:smallCaps w:val="0"/>
      <w:strike w:val="0"/>
      <w:dstrike w:val="0"/>
      <w:outline w:val="0"/>
      <w:color w:val="123b3a"/>
      <w:spacing w:val="0"/>
      <w:kern w:val="0"/>
      <w:position w:val="0"/>
      <w:sz w:val="32"/>
      <w:szCs w:val="32"/>
      <w:u w:val="none" w:color="123b3a"/>
      <w:shd w:val="nil" w:color="auto" w:fill="auto"/>
      <w:vertAlign w:val="baseline"/>
      <w:lang w:val="en-US"/>
      <w14:textOutline>
        <w14:noFill/>
      </w14:textOutline>
      <w14:textFill>
        <w14:solidFill>
          <w14:srgbClr w14:val="123B3A"/>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60" w:after="120" w:line="240" w:lineRule="auto"/>
      <w:ind w:left="0" w:right="0" w:firstLine="0"/>
      <w:jc w:val="left"/>
      <w:outlineLvl w:val="1"/>
    </w:pPr>
    <w:rPr>
      <w:rFonts w:ascii="Arial Unicode MS" w:cs="Arial Unicode MS" w:hAnsi="Arial Unicode MS" w:eastAsia="Arial Unicode MS"/>
      <w:b w:val="0"/>
      <w:bCs w:val="0"/>
      <w:i w:val="0"/>
      <w:iCs w:val="0"/>
      <w:caps w:val="0"/>
      <w:smallCaps w:val="0"/>
      <w:strike w:val="0"/>
      <w:dstrike w:val="0"/>
      <w:outline w:val="0"/>
      <w:color w:val="0d7773"/>
      <w:spacing w:val="0"/>
      <w:kern w:val="0"/>
      <w:position w:val="0"/>
      <w:sz w:val="26"/>
      <w:szCs w:val="26"/>
      <w:u w:val="none" w:color="0d7773"/>
      <w:shd w:val="nil" w:color="auto" w:fill="auto"/>
      <w:vertAlign w:val="baseline"/>
      <w:lang w:val="en-US"/>
      <w14:textOutline>
        <w14:noFill/>
      </w14:textOutline>
      <w14:textFill>
        <w14:solidFill>
          <w14:srgbClr w14:val="0D7773"/>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