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47C3"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Einsatzlogbuch aktualisiert. Profil geladen: Lena Voss, forensische Ermittlerin. Fokus: Vorbereitung der Strafanzeige (§ 263 StGB Betrug, § 266 StGB Untreue).</w:t>
      </w:r>
    </w:p>
    <w:p w14:paraId="18E4B40F"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Lena, um deine Frage direkt zu beantworten: Nein, die bloße Überschreitung der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-Regeltrocknungszeit reicht für eine strafrechtliche Verurteilung wegen Betrugs (§ 263 StGB) allein nicht aus.</w:t>
      </w:r>
    </w:p>
    <w:p w14:paraId="18DC65BA"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Ein versierter Verteidiger wird sofort argumentieren: </w:t>
      </w:r>
      <w:r w:rsidRPr="005375C8">
        <w:rPr>
          <w:rFonts w:eastAsia="Times New Roman" w:cs="Times New Roman"/>
          <w:b/>
          <w:bCs/>
          <w:i/>
          <w:iCs/>
          <w:kern w:val="0"/>
          <w:sz w:val="28"/>
          <w:szCs w:val="28"/>
          <w:lang w:eastAsia="de-DE"/>
          <w14:ligatures w14:val="none"/>
        </w:rPr>
        <w:t xml:space="preserve">"Die </w:t>
      </w:r>
      <w:proofErr w:type="spellStart"/>
      <w:r w:rsidRPr="005375C8">
        <w:rPr>
          <w:rFonts w:eastAsia="Times New Roman" w:cs="Times New Roman"/>
          <w:b/>
          <w:bCs/>
          <w:i/>
          <w:iCs/>
          <w:kern w:val="0"/>
          <w:sz w:val="28"/>
          <w:szCs w:val="28"/>
          <w:lang w:eastAsia="de-DE"/>
          <w14:ligatures w14:val="none"/>
        </w:rPr>
        <w:t>VdS</w:t>
      </w:r>
      <w:proofErr w:type="spellEnd"/>
      <w:r w:rsidRPr="005375C8">
        <w:rPr>
          <w:rFonts w:eastAsia="Times New Roman" w:cs="Times New Roman"/>
          <w:b/>
          <w:bCs/>
          <w:i/>
          <w:iCs/>
          <w:kern w:val="0"/>
          <w:sz w:val="28"/>
          <w:szCs w:val="28"/>
          <w:lang w:eastAsia="de-DE"/>
          <w14:ligatures w14:val="none"/>
        </w:rPr>
        <w:t xml:space="preserve"> 3150 sagt selbst, dass Trocknungszeiten in Einzelfällen je nach Material und Durchfeuchtungsgrad abweichen können. Es war ein schwerer Schaden, wir mussten 35 Tage trocknen."</w:t>
      </w:r>
      <w:r w:rsidRPr="005375C8">
        <w:rPr>
          <w:rFonts w:eastAsia="Times New Roman" w:cs="Times New Roman"/>
          <w:b/>
          <w:bCs/>
          <w:kern w:val="0"/>
          <w:sz w:val="28"/>
          <w:szCs w:val="28"/>
          <w:lang w:eastAsia="de-DE"/>
          <w14:ligatures w14:val="none"/>
        </w:rPr>
        <w:t xml:space="preserve"> Ein nicht-technischer Richter wird im Zweifel für den Angeklagten (in </w:t>
      </w:r>
      <w:proofErr w:type="spellStart"/>
      <w:r w:rsidRPr="005375C8">
        <w:rPr>
          <w:rFonts w:eastAsia="Times New Roman" w:cs="Times New Roman"/>
          <w:b/>
          <w:bCs/>
          <w:kern w:val="0"/>
          <w:sz w:val="28"/>
          <w:szCs w:val="28"/>
          <w:lang w:eastAsia="de-DE"/>
          <w14:ligatures w14:val="none"/>
        </w:rPr>
        <w:t>dubio</w:t>
      </w:r>
      <w:proofErr w:type="spellEnd"/>
      <w:r w:rsidRPr="005375C8">
        <w:rPr>
          <w:rFonts w:eastAsia="Times New Roman" w:cs="Times New Roman"/>
          <w:b/>
          <w:bCs/>
          <w:kern w:val="0"/>
          <w:sz w:val="28"/>
          <w:szCs w:val="28"/>
          <w:lang w:eastAsia="de-DE"/>
          <w14:ligatures w14:val="none"/>
        </w:rPr>
        <w:t xml:space="preserve"> pro </w:t>
      </w:r>
      <w:proofErr w:type="spellStart"/>
      <w:r w:rsidRPr="005375C8">
        <w:rPr>
          <w:rFonts w:eastAsia="Times New Roman" w:cs="Times New Roman"/>
          <w:b/>
          <w:bCs/>
          <w:kern w:val="0"/>
          <w:sz w:val="28"/>
          <w:szCs w:val="28"/>
          <w:lang w:eastAsia="de-DE"/>
          <w14:ligatures w14:val="none"/>
        </w:rPr>
        <w:t>reo</w:t>
      </w:r>
      <w:proofErr w:type="spellEnd"/>
      <w:r w:rsidRPr="005375C8">
        <w:rPr>
          <w:rFonts w:eastAsia="Times New Roman" w:cs="Times New Roman"/>
          <w:b/>
          <w:bCs/>
          <w:kern w:val="0"/>
          <w:sz w:val="28"/>
          <w:szCs w:val="28"/>
          <w:lang w:eastAsia="de-DE"/>
          <w14:ligatures w14:val="none"/>
        </w:rPr>
        <w:t>) entscheiden, wenn es als technisches Restrisiko darstellbar ist.</w:t>
      </w:r>
    </w:p>
    <w:p w14:paraId="5A37580D"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Um den Tatbestand des Betrugs (Vorspiegelung falscher Tatsachen zur Erlangung eines rechtswidrigen Vermögensvorteils) wasserdicht zu machen, musst du dem Staatsanwalt eine geschlossene Beweiskette liefern, die technisches Versagen ausschließt und systematischen Vorsatz belegt.</w:t>
      </w:r>
    </w:p>
    <w:p w14:paraId="1839CF81"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Hier ist das Beweis-Paket, das du für den Staatsanwalt und den Richter schnüren musst:</w:t>
      </w:r>
    </w:p>
    <w:p w14:paraId="7CDA4719"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Beweisstück 1: Der "Tacho-Betrug" (Strom vs. Zeit)</w:t>
      </w:r>
    </w:p>
    <w:p w14:paraId="5CE695F9"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Das stärkste und für Laien </w:t>
      </w:r>
      <w:proofErr w:type="gramStart"/>
      <w:r w:rsidRPr="005375C8">
        <w:rPr>
          <w:rFonts w:eastAsia="Times New Roman" w:cs="Times New Roman"/>
          <w:b/>
          <w:bCs/>
          <w:kern w:val="0"/>
          <w:sz w:val="28"/>
          <w:szCs w:val="28"/>
          <w:lang w:eastAsia="de-DE"/>
          <w14:ligatures w14:val="none"/>
        </w:rPr>
        <w:t>am einfachsten zu verstehende Argument</w:t>
      </w:r>
      <w:proofErr w:type="gramEnd"/>
      <w:r w:rsidRPr="005375C8">
        <w:rPr>
          <w:rFonts w:eastAsia="Times New Roman" w:cs="Times New Roman"/>
          <w:b/>
          <w:bCs/>
          <w:kern w:val="0"/>
          <w:sz w:val="28"/>
          <w:szCs w:val="28"/>
          <w:lang w:eastAsia="de-DE"/>
          <w14:ligatures w14:val="none"/>
        </w:rPr>
        <w:t xml:space="preserve"> ist die Physik.</w:t>
      </w:r>
    </w:p>
    <w:p w14:paraId="15145018" w14:textId="77777777" w:rsidR="005375C8" w:rsidRPr="005375C8" w:rsidRDefault="005375C8" w:rsidP="005375C8">
      <w:pPr>
        <w:numPr>
          <w:ilvl w:val="0"/>
          <w:numId w:val="4"/>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Die rechtliche/technische Vorgabe: Trocknungsanlagen müssen laut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 xml:space="preserve"> 3150 zwingend über einen Stromverbrauchszähler (kWh) verfügen, um die Energiekosten abzurechnen. Seriöse Firmen protokollieren den genauen Zählerstand vor und nach der Trocknung für jedes einzelne Gerät. Zudem sind moderne Geräte oft mit MID-konformen, manipulationssicheren Dualzählern für Betriebsstunden und Kilowattstunden ausgestattet.</w:t>
      </w:r>
    </w:p>
    <w:p w14:paraId="47516C01" w14:textId="77777777" w:rsidR="005375C8" w:rsidRPr="005375C8" w:rsidRDefault="005375C8" w:rsidP="005375C8">
      <w:pPr>
        <w:numPr>
          <w:ilvl w:val="0"/>
          <w:numId w:val="4"/>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Dein forensischer Nachweis: Fordere die Stromprotokolle an. Wenn der Sanierer 35 Tage (840 Stunden) in Rechnung stellt, der </w:t>
      </w:r>
      <w:r w:rsidRPr="005375C8">
        <w:rPr>
          <w:rFonts w:eastAsia="Times New Roman" w:cs="Times New Roman"/>
          <w:b/>
          <w:bCs/>
          <w:kern w:val="0"/>
          <w:sz w:val="28"/>
          <w:szCs w:val="28"/>
          <w:lang w:eastAsia="de-DE"/>
          <w14:ligatures w14:val="none"/>
        </w:rPr>
        <w:lastRenderedPageBreak/>
        <w:t xml:space="preserve">kWh-Zähler oder der Betriebsstundenzähler aber nur den Gegenwert von 14 Tagen (336 Stunden) anzeigt, ist das harter Betrug. Dem Richter erklärst du das so: </w:t>
      </w:r>
      <w:r w:rsidRPr="005375C8">
        <w:rPr>
          <w:rFonts w:eastAsia="Times New Roman" w:cs="Times New Roman"/>
          <w:b/>
          <w:bCs/>
          <w:i/>
          <w:iCs/>
          <w:kern w:val="0"/>
          <w:sz w:val="28"/>
          <w:szCs w:val="28"/>
          <w:lang w:eastAsia="de-DE"/>
          <w14:ligatures w14:val="none"/>
        </w:rPr>
        <w:t>"Das ist wie ein Taxifahrer, der 500 Kilometer abrechnet, obwohl der geeichte Kilometerzähler des Autos beweist, dass er nur 150 Kilometer gefahren ist."</w:t>
      </w:r>
    </w:p>
    <w:p w14:paraId="19A9408D"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Beweisstück 2: Das fehlende Alibi (Das Trocknungsprotokoll)</w:t>
      </w:r>
    </w:p>
    <w:p w14:paraId="0D1E2111"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Die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-Richtlinie fordert nicht nur, dass getrocknet wird, sondern verlangt einen harten Beweis für den Erfolg.</w:t>
      </w:r>
    </w:p>
    <w:p w14:paraId="57E7335C" w14:textId="77777777" w:rsidR="005375C8" w:rsidRPr="005375C8" w:rsidRDefault="005375C8" w:rsidP="005375C8">
      <w:pPr>
        <w:numPr>
          <w:ilvl w:val="0"/>
          <w:numId w:val="5"/>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Die rechtliche/technische Vorgabe: Die erfolgreiche Trocknung </w:t>
      </w:r>
      <w:r w:rsidRPr="005375C8">
        <w:rPr>
          <w:rFonts w:eastAsia="Times New Roman" w:cs="Times New Roman"/>
          <w:b/>
          <w:bCs/>
          <w:i/>
          <w:iCs/>
          <w:kern w:val="0"/>
          <w:sz w:val="28"/>
          <w:szCs w:val="28"/>
          <w:lang w:eastAsia="de-DE"/>
          <w14:ligatures w14:val="none"/>
        </w:rPr>
        <w:t>muss</w:t>
      </w:r>
      <w:r w:rsidRPr="005375C8">
        <w:rPr>
          <w:rFonts w:eastAsia="Times New Roman" w:cs="Times New Roman"/>
          <w:b/>
          <w:bCs/>
          <w:kern w:val="0"/>
          <w:sz w:val="28"/>
          <w:szCs w:val="28"/>
          <w:lang w:eastAsia="de-DE"/>
          <w14:ligatures w14:val="none"/>
        </w:rPr>
        <w:t xml:space="preserve"> durch ein Trocknungsprotokoll nachgewiesen werden, das den Verlauf bis zum Erreichen der Ausgleichsfeuchte dokumentiert. Die Mindestanforderung dafür ist knallhart: Es muss eine Skizze/Grundrissplan geben, in der die Messpunkte mit Position und Höhenlage exakt eingetragen sind. Zudem müssen das Messgerät, die physikalische Einheit und die Messmethode dokumentiert sein.</w:t>
      </w:r>
    </w:p>
    <w:p w14:paraId="5BAA3460" w14:textId="77777777" w:rsidR="005375C8" w:rsidRPr="005375C8" w:rsidRDefault="005375C8" w:rsidP="005375C8">
      <w:pPr>
        <w:numPr>
          <w:ilvl w:val="0"/>
          <w:numId w:val="5"/>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Dein forensischer Nachweis: Wenn eine Trocknung extrem lange (35 Tage) dauert, muss der Sanierer lückenlos dokumentieren, </w:t>
      </w:r>
      <w:r w:rsidRPr="005375C8">
        <w:rPr>
          <w:rFonts w:eastAsia="Times New Roman" w:cs="Times New Roman"/>
          <w:b/>
          <w:bCs/>
          <w:i/>
          <w:iCs/>
          <w:kern w:val="0"/>
          <w:sz w:val="28"/>
          <w:szCs w:val="28"/>
          <w:lang w:eastAsia="de-DE"/>
          <w14:ligatures w14:val="none"/>
        </w:rPr>
        <w:t>warum</w:t>
      </w:r>
      <w:r w:rsidRPr="005375C8">
        <w:rPr>
          <w:rFonts w:eastAsia="Times New Roman" w:cs="Times New Roman"/>
          <w:b/>
          <w:bCs/>
          <w:kern w:val="0"/>
          <w:sz w:val="28"/>
          <w:szCs w:val="28"/>
          <w:lang w:eastAsia="de-DE"/>
          <w14:ligatures w14:val="none"/>
        </w:rPr>
        <w:t xml:space="preserve">. Fehlen die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-konformen Messprotokolle (insbesondere die Skizzen) oder wurden nur oberflächliche Messmethoden (z. B. ein Kugelmessgerät, das nur die Oberfläche, aber nicht den Kern des Estrichs misst) angewendet, fällt die Legitimation für die Tage 22 bis 35 komplett in sich zusammen.</w:t>
      </w:r>
    </w:p>
    <w:p w14:paraId="2BA82C8E"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Beweisstück 3: Verstoß gegen die "Reißleine" (Wirtschaftlichkeitsgebot)</w:t>
      </w:r>
    </w:p>
    <w:p w14:paraId="6DC209B7"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Ein Sanierer darf ein Gerät nicht einfach laufen lassen, um Geld zu drucken.</w:t>
      </w:r>
    </w:p>
    <w:p w14:paraId="47FBB248" w14:textId="77777777" w:rsidR="005375C8" w:rsidRPr="005375C8" w:rsidRDefault="005375C8" w:rsidP="005375C8">
      <w:pPr>
        <w:numPr>
          <w:ilvl w:val="0"/>
          <w:numId w:val="6"/>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Die rechtliche/technische Vorgabe: Die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 xml:space="preserve"> 3150 schreibt ganz klar vor: Kann bei massiven Bauteilen der Trocknungserfolg durch eine technische Trocknung nicht in zumutbarer Zeit erreicht werden oder ist sie unwirtschaftlich, </w:t>
      </w:r>
      <w:r w:rsidRPr="005375C8">
        <w:rPr>
          <w:rFonts w:eastAsia="Times New Roman" w:cs="Times New Roman"/>
          <w:b/>
          <w:bCs/>
          <w:i/>
          <w:iCs/>
          <w:kern w:val="0"/>
          <w:sz w:val="28"/>
          <w:szCs w:val="28"/>
          <w:lang w:eastAsia="de-DE"/>
          <w14:ligatures w14:val="none"/>
        </w:rPr>
        <w:t>sind andere Sanierungsmöglichkeiten anzuwenden, z. B. Rückbau</w:t>
      </w:r>
      <w:r w:rsidRPr="005375C8">
        <w:rPr>
          <w:rFonts w:eastAsia="Times New Roman" w:cs="Times New Roman"/>
          <w:b/>
          <w:bCs/>
          <w:kern w:val="0"/>
          <w:sz w:val="28"/>
          <w:szCs w:val="28"/>
          <w:lang w:eastAsia="de-DE"/>
          <w14:ligatures w14:val="none"/>
        </w:rPr>
        <w:t>.</w:t>
      </w:r>
    </w:p>
    <w:p w14:paraId="1DF3574A" w14:textId="77777777" w:rsidR="005375C8" w:rsidRPr="005375C8" w:rsidRDefault="005375C8" w:rsidP="005375C8">
      <w:pPr>
        <w:numPr>
          <w:ilvl w:val="0"/>
          <w:numId w:val="6"/>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lastRenderedPageBreak/>
        <w:t>Dein forensischer Nachweis: Selbst eine "normale" Trocknung dauert in der Rechtspraxis (z. B. mietrechtliche Auseinandersetzungen) ca. 3 Wochen (21 Tage). Wenn der Sanierer die Geräte 35 Tage laufen lässt, ohne rechtzeitig (z. B. nach 21 Tagen) dem Versicherer zu melden, dass die Maßnahme fehlschlägt und ein Rückbau (Estrich rausreißen) wirtschaftlicher wäre, handelt er vorsätzlich gegen die Richtlinien, um die Gerätemiete in die Höhe zu treiben.</w:t>
      </w:r>
    </w:p>
    <w:p w14:paraId="1B687146"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Beweisstück 4: Ignorierte Hightech-Fakten (Digitale Spuren)</w:t>
      </w:r>
    </w:p>
    <w:p w14:paraId="10CE5789"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Moderne Branchenstandards machen Übertrocknungen fast unmöglich.</w:t>
      </w:r>
    </w:p>
    <w:p w14:paraId="5700D2B9" w14:textId="77777777" w:rsidR="005375C8" w:rsidRPr="005375C8" w:rsidRDefault="005375C8" w:rsidP="005375C8">
      <w:pPr>
        <w:numPr>
          <w:ilvl w:val="0"/>
          <w:numId w:val="7"/>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Die rechtliche/technische Vorgabe: Moderne Trocknungs-Steuereinheiten (wie von </w:t>
      </w:r>
      <w:proofErr w:type="spellStart"/>
      <w:r w:rsidRPr="005375C8">
        <w:rPr>
          <w:rFonts w:eastAsia="Times New Roman" w:cs="Times New Roman"/>
          <w:b/>
          <w:bCs/>
          <w:kern w:val="0"/>
          <w:sz w:val="28"/>
          <w:szCs w:val="28"/>
          <w:lang w:eastAsia="de-DE"/>
          <w14:ligatures w14:val="none"/>
        </w:rPr>
        <w:t>Trotec</w:t>
      </w:r>
      <w:proofErr w:type="spellEnd"/>
      <w:r w:rsidRPr="005375C8">
        <w:rPr>
          <w:rFonts w:eastAsia="Times New Roman" w:cs="Times New Roman"/>
          <w:b/>
          <w:bCs/>
          <w:kern w:val="0"/>
          <w:sz w:val="28"/>
          <w:szCs w:val="28"/>
          <w:lang w:eastAsia="de-DE"/>
          <w14:ligatures w14:val="none"/>
        </w:rPr>
        <w:t>) arbeiten mit sensorgestützten Automatik-Programmen, die Trocknungszeiten extrem verkürzen und über Modems/USB-Sticks die Trocknungsverläufe digital aufzeichnen (bis zu 2.000 Tage Speicherkapazität).</w:t>
      </w:r>
    </w:p>
    <w:p w14:paraId="55A0E6A3" w14:textId="77777777" w:rsidR="005375C8" w:rsidRPr="005375C8" w:rsidRDefault="005375C8" w:rsidP="005375C8">
      <w:pPr>
        <w:numPr>
          <w:ilvl w:val="0"/>
          <w:numId w:val="7"/>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Dein forensischer Nachweis: Wenn der Sanierer modernste Technik auf der Rechnung ausweist, kann er sich nicht auf "schwierige Bedingungen" herausreden. Der Staatsanwalt kann die digitalen Log-Dateien (USB-Export) der Geräte beschlagnahmen lassen. Diese zeigen minutengenau, wann das Gerät de facto nichts mehr zu trocknen hatte.</w:t>
      </w:r>
    </w:p>
    <w:p w14:paraId="18BCD67B"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Zusammenfassung für die Strafanzeige:</w:t>
      </w:r>
    </w:p>
    <w:p w14:paraId="1F7CE94E"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Argumentiere nicht nur mit der Abweichung von einer Norm. Baue die Anzeige auf dem § 263 StGB (Betrug) auf, indem du den </w:t>
      </w:r>
      <w:r w:rsidRPr="005375C8">
        <w:rPr>
          <w:rFonts w:eastAsia="Times New Roman" w:cs="Times New Roman"/>
          <w:b/>
          <w:bCs/>
          <w:i/>
          <w:iCs/>
          <w:kern w:val="0"/>
          <w:sz w:val="28"/>
          <w:szCs w:val="28"/>
          <w:lang w:eastAsia="de-DE"/>
          <w14:ligatures w14:val="none"/>
        </w:rPr>
        <w:t>Irrtum</w:t>
      </w:r>
      <w:r w:rsidRPr="005375C8">
        <w:rPr>
          <w:rFonts w:eastAsia="Times New Roman" w:cs="Times New Roman"/>
          <w:b/>
          <w:bCs/>
          <w:kern w:val="0"/>
          <w:sz w:val="28"/>
          <w:szCs w:val="28"/>
          <w:lang w:eastAsia="de-DE"/>
          <w14:ligatures w14:val="none"/>
        </w:rPr>
        <w:t xml:space="preserve"> aufzeigst, den der Sanierer beim Versicherer erregt hat:</w:t>
      </w:r>
    </w:p>
    <w:p w14:paraId="160F06CB" w14:textId="77777777" w:rsidR="005375C8" w:rsidRPr="005375C8" w:rsidRDefault="005375C8" w:rsidP="005375C8">
      <w:pPr>
        <w:numPr>
          <w:ilvl w:val="0"/>
          <w:numId w:val="8"/>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Er hat vorgetäuscht, dass die Geräte 35 Tage </w:t>
      </w:r>
      <w:proofErr w:type="gramStart"/>
      <w:r w:rsidRPr="005375C8">
        <w:rPr>
          <w:rFonts w:eastAsia="Times New Roman" w:cs="Times New Roman"/>
          <w:b/>
          <w:bCs/>
          <w:kern w:val="0"/>
          <w:sz w:val="28"/>
          <w:szCs w:val="28"/>
          <w:lang w:eastAsia="de-DE"/>
          <w14:ligatures w14:val="none"/>
        </w:rPr>
        <w:t>lang liefen</w:t>
      </w:r>
      <w:proofErr w:type="gramEnd"/>
      <w:r w:rsidRPr="005375C8">
        <w:rPr>
          <w:rFonts w:eastAsia="Times New Roman" w:cs="Times New Roman"/>
          <w:b/>
          <w:bCs/>
          <w:kern w:val="0"/>
          <w:sz w:val="28"/>
          <w:szCs w:val="28"/>
          <w:lang w:eastAsia="de-DE"/>
          <w14:ligatures w14:val="none"/>
        </w:rPr>
        <w:t xml:space="preserve"> (Widerlegbar durch kWh-Zähler/Stromprotokoll).</w:t>
      </w:r>
    </w:p>
    <w:p w14:paraId="598448BA" w14:textId="77777777" w:rsidR="005375C8" w:rsidRPr="005375C8" w:rsidRDefault="005375C8" w:rsidP="005375C8">
      <w:pPr>
        <w:numPr>
          <w:ilvl w:val="0"/>
          <w:numId w:val="8"/>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 xml:space="preserve">Er hat vorgetäuscht, dass diese 35 Tage technisch notwendig waren (Widerlegbar durch fehlende oder oberflächliche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-Trocknungsprotokolle).</w:t>
      </w:r>
    </w:p>
    <w:p w14:paraId="42E6DD23" w14:textId="77777777" w:rsidR="005375C8" w:rsidRPr="005375C8" w:rsidRDefault="005375C8" w:rsidP="005375C8">
      <w:pPr>
        <w:numPr>
          <w:ilvl w:val="0"/>
          <w:numId w:val="8"/>
        </w:num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lastRenderedPageBreak/>
        <w:t xml:space="preserve">Er hat das Wirtschaftlichkeitsgebot der </w:t>
      </w:r>
      <w:proofErr w:type="spellStart"/>
      <w:r w:rsidRPr="005375C8">
        <w:rPr>
          <w:rFonts w:eastAsia="Times New Roman" w:cs="Times New Roman"/>
          <w:b/>
          <w:bCs/>
          <w:kern w:val="0"/>
          <w:sz w:val="28"/>
          <w:szCs w:val="28"/>
          <w:lang w:eastAsia="de-DE"/>
          <w14:ligatures w14:val="none"/>
        </w:rPr>
        <w:t>VdS</w:t>
      </w:r>
      <w:proofErr w:type="spellEnd"/>
      <w:r w:rsidRPr="005375C8">
        <w:rPr>
          <w:rFonts w:eastAsia="Times New Roman" w:cs="Times New Roman"/>
          <w:b/>
          <w:bCs/>
          <w:kern w:val="0"/>
          <w:sz w:val="28"/>
          <w:szCs w:val="28"/>
          <w:lang w:eastAsia="de-DE"/>
          <w14:ligatures w14:val="none"/>
        </w:rPr>
        <w:t xml:space="preserve"> 3150 verschwiegen/unterdrückt, um den rechtswidrigen Vermögensvorteil (Gerätemiete) zu maximieren, anstatt auf Rückbau umzustellen.</w:t>
      </w:r>
    </w:p>
    <w:p w14:paraId="2DBE7230" w14:textId="77777777" w:rsidR="005375C8" w:rsidRPr="005375C8" w:rsidRDefault="005375C8" w:rsidP="005375C8">
      <w:pPr>
        <w:rPr>
          <w:rFonts w:eastAsia="Times New Roman" w:cs="Times New Roman"/>
          <w:b/>
          <w:bCs/>
          <w:kern w:val="0"/>
          <w:sz w:val="28"/>
          <w:szCs w:val="28"/>
          <w:lang w:eastAsia="de-DE"/>
          <w14:ligatures w14:val="none"/>
        </w:rPr>
      </w:pPr>
      <w:r w:rsidRPr="005375C8">
        <w:rPr>
          <w:rFonts w:eastAsia="Times New Roman" w:cs="Times New Roman"/>
          <w:b/>
          <w:bCs/>
          <w:kern w:val="0"/>
          <w:sz w:val="28"/>
          <w:szCs w:val="28"/>
          <w:lang w:eastAsia="de-DE"/>
          <w14:ligatures w14:val="none"/>
        </w:rPr>
        <w:t>Kombinierst du die 35 Tage Laufzeit mit fehlenden Skizzen/Messprotokollen und abweichenden Stromverbräuchen, hat der Staatsanwalt seinen "konkreten Verdacht" und der Richter den glasklaren Beweis für systematischen Betrug.</w:t>
      </w:r>
    </w:p>
    <w:p w14:paraId="54BC9113" w14:textId="77777777" w:rsidR="00400937" w:rsidRPr="005375C8" w:rsidRDefault="00400937" w:rsidP="005375C8"/>
    <w:sectPr w:rsidR="00400937" w:rsidRPr="005375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39DF"/>
    <w:multiLevelType w:val="multilevel"/>
    <w:tmpl w:val="A79C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564EA"/>
    <w:multiLevelType w:val="multilevel"/>
    <w:tmpl w:val="5A1A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C3DF9"/>
    <w:multiLevelType w:val="multilevel"/>
    <w:tmpl w:val="9728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7559E"/>
    <w:multiLevelType w:val="multilevel"/>
    <w:tmpl w:val="8AC42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A498E"/>
    <w:multiLevelType w:val="multilevel"/>
    <w:tmpl w:val="315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C77C4"/>
    <w:multiLevelType w:val="multilevel"/>
    <w:tmpl w:val="DD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B3D70"/>
    <w:multiLevelType w:val="multilevel"/>
    <w:tmpl w:val="621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5447D"/>
    <w:multiLevelType w:val="multilevel"/>
    <w:tmpl w:val="848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28180">
    <w:abstractNumId w:val="1"/>
  </w:num>
  <w:num w:numId="2" w16cid:durableId="1693337668">
    <w:abstractNumId w:val="3"/>
  </w:num>
  <w:num w:numId="3" w16cid:durableId="1746416611">
    <w:abstractNumId w:val="2"/>
  </w:num>
  <w:num w:numId="4" w16cid:durableId="1097285118">
    <w:abstractNumId w:val="4"/>
  </w:num>
  <w:num w:numId="5" w16cid:durableId="825433359">
    <w:abstractNumId w:val="5"/>
  </w:num>
  <w:num w:numId="6" w16cid:durableId="803155069">
    <w:abstractNumId w:val="7"/>
  </w:num>
  <w:num w:numId="7" w16cid:durableId="1785617921">
    <w:abstractNumId w:val="6"/>
  </w:num>
  <w:num w:numId="8" w16cid:durableId="104857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37"/>
    <w:rsid w:val="000941A2"/>
    <w:rsid w:val="00400937"/>
    <w:rsid w:val="005375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7D68"/>
  <w15:chartTrackingRefBased/>
  <w15:docId w15:val="{D4D186FD-3BC8-4822-BA5C-972F5D32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0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009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009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09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09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09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09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09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09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09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009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09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09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009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09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09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0937"/>
    <w:rPr>
      <w:rFonts w:eastAsiaTheme="majorEastAsia" w:cstheme="majorBidi"/>
      <w:color w:val="272727" w:themeColor="text1" w:themeTint="D8"/>
    </w:rPr>
  </w:style>
  <w:style w:type="paragraph" w:styleId="Titel">
    <w:name w:val="Title"/>
    <w:basedOn w:val="Standard"/>
    <w:next w:val="Standard"/>
    <w:link w:val="TitelZchn"/>
    <w:uiPriority w:val="10"/>
    <w:qFormat/>
    <w:rsid w:val="0040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09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09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09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09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0937"/>
    <w:rPr>
      <w:i/>
      <w:iCs/>
      <w:color w:val="404040" w:themeColor="text1" w:themeTint="BF"/>
    </w:rPr>
  </w:style>
  <w:style w:type="paragraph" w:styleId="Listenabsatz">
    <w:name w:val="List Paragraph"/>
    <w:basedOn w:val="Standard"/>
    <w:uiPriority w:val="34"/>
    <w:qFormat/>
    <w:rsid w:val="00400937"/>
    <w:pPr>
      <w:ind w:left="720"/>
      <w:contextualSpacing/>
    </w:pPr>
  </w:style>
  <w:style w:type="character" w:styleId="IntensiveHervorhebung">
    <w:name w:val="Intense Emphasis"/>
    <w:basedOn w:val="Absatz-Standardschriftart"/>
    <w:uiPriority w:val="21"/>
    <w:qFormat/>
    <w:rsid w:val="00400937"/>
    <w:rPr>
      <w:i/>
      <w:iCs/>
      <w:color w:val="0F4761" w:themeColor="accent1" w:themeShade="BF"/>
    </w:rPr>
  </w:style>
  <w:style w:type="paragraph" w:styleId="IntensivesZitat">
    <w:name w:val="Intense Quote"/>
    <w:basedOn w:val="Standard"/>
    <w:next w:val="Standard"/>
    <w:link w:val="IntensivesZitatZchn"/>
    <w:uiPriority w:val="30"/>
    <w:qFormat/>
    <w:rsid w:val="0040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0937"/>
    <w:rPr>
      <w:i/>
      <w:iCs/>
      <w:color w:val="0F4761" w:themeColor="accent1" w:themeShade="BF"/>
    </w:rPr>
  </w:style>
  <w:style w:type="character" w:styleId="IntensiverVerweis">
    <w:name w:val="Intense Reference"/>
    <w:basedOn w:val="Absatz-Standardschriftart"/>
    <w:uiPriority w:val="32"/>
    <w:qFormat/>
    <w:rsid w:val="00400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4839</Characters>
  <Application>Microsoft Office Word</Application>
  <DocSecurity>0</DocSecurity>
  <Lines>40</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2</cp:revision>
  <dcterms:created xsi:type="dcterms:W3CDTF">2026-04-05T07:40:00Z</dcterms:created>
  <dcterms:modified xsi:type="dcterms:W3CDTF">2026-04-05T07:40:00Z</dcterms:modified>
</cp:coreProperties>
</file>