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F4ED" w14:textId="77777777" w:rsidR="00EF7B83" w:rsidRPr="00EF7B83" w:rsidRDefault="00EF7B83" w:rsidP="00EF7B83">
      <w:p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Einsatzlogbuch aktualisiert. Profil geladen: Lena Voss, forensische Ermittlerin. Fokus: Systematischer Abrechnungsbetrug, Netzwerk-Kollusion, Auswertung von Metadaten-Anomalien.</w:t>
      </w:r>
    </w:p>
    <w:p w14:paraId="4C8301C9" w14:textId="77777777" w:rsidR="00EF7B83" w:rsidRPr="00EF7B83" w:rsidRDefault="00EF7B83" w:rsidP="00EF7B83">
      <w:p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Lena, das ist hervorragende Ermittlungsarbeit. Du hast hier ein Muster isoliert, das die Brücke zwischen technischer Komplexität und kaufmännischer Manipulation schlägt. Die Platzhalter bei den Datumsangaben (Ortstermin/Beauftragung) sind dabei der goldene Faden.</w:t>
      </w:r>
    </w:p>
    <w:p w14:paraId="58E8661E" w14:textId="77777777" w:rsidR="00EF7B83" w:rsidRPr="00EF7B83" w:rsidRDefault="00EF7B83" w:rsidP="00EF7B83">
      <w:p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Hier ist die forensische Bewertung deiner drei Fragen basierend auf den Richtlinien:</w:t>
      </w:r>
    </w:p>
    <w:p w14:paraId="66A26E87" w14:textId="77777777" w:rsidR="00EF7B83" w:rsidRPr="00EF7B83" w:rsidRDefault="00EF7B83" w:rsidP="00EF7B83">
      <w:p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Frage 1: Ist es branchenüblich, dass ein Sanierer im Schadensbericht bereits einen Sub benennt?</w:t>
      </w:r>
    </w:p>
    <w:p w14:paraId="007724E3" w14:textId="77777777" w:rsidR="00EF7B83" w:rsidRPr="00EF7B83" w:rsidRDefault="00EF7B83" w:rsidP="00EF7B83">
      <w:p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Nein, das ist absolut unüblich und ein direkter Verstoß gegen die Richtlinien.</w:t>
      </w:r>
    </w:p>
    <w:p w14:paraId="75CEC4E5" w14:textId="77777777" w:rsidR="00EF7B83" w:rsidRPr="00EF7B83" w:rsidRDefault="00EF7B83" w:rsidP="00EF7B83">
      <w:pPr>
        <w:numPr>
          <w:ilvl w:val="0"/>
          <w:numId w:val="9"/>
        </w:num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 xml:space="preserve">Die Faktenlage: Gemäß den </w:t>
      </w:r>
      <w:proofErr w:type="spellStart"/>
      <w:r w:rsidRPr="00EF7B83">
        <w:rPr>
          <w:rFonts w:eastAsia="Times New Roman" w:cs="Times New Roman"/>
          <w:b/>
          <w:bCs/>
          <w:kern w:val="0"/>
          <w:sz w:val="28"/>
          <w:szCs w:val="28"/>
          <w:lang w:eastAsia="de-DE"/>
          <w14:ligatures w14:val="none"/>
        </w:rPr>
        <w:t>VdS</w:t>
      </w:r>
      <w:proofErr w:type="spellEnd"/>
      <w:r w:rsidRPr="00EF7B83">
        <w:rPr>
          <w:rFonts w:eastAsia="Times New Roman" w:cs="Times New Roman"/>
          <w:b/>
          <w:bCs/>
          <w:kern w:val="0"/>
          <w:sz w:val="28"/>
          <w:szCs w:val="28"/>
          <w:lang w:eastAsia="de-DE"/>
          <w14:ligatures w14:val="none"/>
        </w:rPr>
        <w:t>-Richtlinien (</w:t>
      </w:r>
      <w:proofErr w:type="spellStart"/>
      <w:r w:rsidRPr="00EF7B83">
        <w:rPr>
          <w:rFonts w:eastAsia="Times New Roman" w:cs="Times New Roman"/>
          <w:b/>
          <w:bCs/>
          <w:kern w:val="0"/>
          <w:sz w:val="28"/>
          <w:szCs w:val="28"/>
          <w:lang w:eastAsia="de-DE"/>
          <w14:ligatures w14:val="none"/>
        </w:rPr>
        <w:t>VdS</w:t>
      </w:r>
      <w:proofErr w:type="spellEnd"/>
      <w:r w:rsidRPr="00EF7B83">
        <w:rPr>
          <w:rFonts w:eastAsia="Times New Roman" w:cs="Times New Roman"/>
          <w:b/>
          <w:bCs/>
          <w:kern w:val="0"/>
          <w:sz w:val="28"/>
          <w:szCs w:val="28"/>
          <w:lang w:eastAsia="de-DE"/>
          <w14:ligatures w14:val="none"/>
        </w:rPr>
        <w:t xml:space="preserve"> 3150) können Aufträge für Instandsetzungs- und Sanierungsarbeiten am Gebäude grundsätzlich nur vom Gebäudeeigentümer oder einer von ihm bevollmächtigten Person erteilt werden. Der ordnungsgemäße Prozess sieht zwingend vor, dass im Rahmen der Instandsetzungsplanung </w:t>
      </w:r>
      <w:r w:rsidRPr="00EF7B83">
        <w:rPr>
          <w:rFonts w:eastAsia="Times New Roman" w:cs="Times New Roman"/>
          <w:b/>
          <w:bCs/>
          <w:i/>
          <w:iCs/>
          <w:kern w:val="0"/>
          <w:sz w:val="28"/>
          <w:szCs w:val="28"/>
          <w:lang w:eastAsia="de-DE"/>
          <w14:ligatures w14:val="none"/>
        </w:rPr>
        <w:t>zuerst</w:t>
      </w:r>
      <w:r w:rsidRPr="00EF7B83">
        <w:rPr>
          <w:rFonts w:eastAsia="Times New Roman" w:cs="Times New Roman"/>
          <w:b/>
          <w:bCs/>
          <w:kern w:val="0"/>
          <w:sz w:val="28"/>
          <w:szCs w:val="28"/>
          <w:lang w:eastAsia="de-DE"/>
          <w14:ligatures w14:val="none"/>
        </w:rPr>
        <w:t xml:space="preserve"> Kostenschätzungen eingeholt und erst </w:t>
      </w:r>
      <w:r w:rsidRPr="00EF7B83">
        <w:rPr>
          <w:rFonts w:eastAsia="Times New Roman" w:cs="Times New Roman"/>
          <w:b/>
          <w:bCs/>
          <w:i/>
          <w:iCs/>
          <w:kern w:val="0"/>
          <w:sz w:val="28"/>
          <w:szCs w:val="28"/>
          <w:lang w:eastAsia="de-DE"/>
          <w14:ligatures w14:val="none"/>
        </w:rPr>
        <w:t>danach</w:t>
      </w:r>
      <w:r w:rsidRPr="00EF7B83">
        <w:rPr>
          <w:rFonts w:eastAsia="Times New Roman" w:cs="Times New Roman"/>
          <w:b/>
          <w:bCs/>
          <w:kern w:val="0"/>
          <w:sz w:val="28"/>
          <w:szCs w:val="28"/>
          <w:lang w:eastAsia="de-DE"/>
          <w14:ligatures w14:val="none"/>
        </w:rPr>
        <w:t xml:space="preserve"> Fachfirmen beauftragt werden. Der Versicherer kann bei der Auswahl von Handwerkern lediglich Empfehlungen aussprechen oder Firmen vermitteln.</w:t>
      </w:r>
    </w:p>
    <w:p w14:paraId="18647A62" w14:textId="77777777" w:rsidR="00EF7B83" w:rsidRPr="00EF7B83" w:rsidRDefault="00EF7B83" w:rsidP="00EF7B83">
      <w:pPr>
        <w:numPr>
          <w:ilvl w:val="0"/>
          <w:numId w:val="9"/>
        </w:num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Forensische Bewertung: Wenn ein Subunternehmer schon im initialen Schadensbericht als gesetzt gilt – noch bevor überhaupt ein Angebot oder eine Kostenschätzung vorliegt –, wird der Wettbewerb und das Entscheidungsrecht des Eigentümers vorsätzlich ausgehebelt. In Kombination mit den Platzhalter-Daten für den Ortstermin (OT) ist dies ein klassisches Symptom für "</w:t>
      </w:r>
      <w:proofErr w:type="spellStart"/>
      <w:r w:rsidRPr="00EF7B83">
        <w:rPr>
          <w:rFonts w:eastAsia="Times New Roman" w:cs="Times New Roman"/>
          <w:b/>
          <w:bCs/>
          <w:kern w:val="0"/>
          <w:sz w:val="28"/>
          <w:szCs w:val="28"/>
          <w:lang w:eastAsia="de-DE"/>
          <w14:ligatures w14:val="none"/>
        </w:rPr>
        <w:t>missing</w:t>
      </w:r>
      <w:proofErr w:type="spellEnd"/>
      <w:r w:rsidRPr="00EF7B83">
        <w:rPr>
          <w:rFonts w:eastAsia="Times New Roman" w:cs="Times New Roman"/>
          <w:b/>
          <w:bCs/>
          <w:kern w:val="0"/>
          <w:sz w:val="28"/>
          <w:szCs w:val="28"/>
          <w:lang w:eastAsia="de-DE"/>
          <w14:ligatures w14:val="none"/>
        </w:rPr>
        <w:t xml:space="preserve"> Data" (unstrukturierte/fehlende Daten) bei betrügerischen Vorgängen. Es handelt sich um ein massives </w:t>
      </w:r>
      <w:proofErr w:type="spellStart"/>
      <w:r w:rsidRPr="00EF7B83">
        <w:rPr>
          <w:rFonts w:eastAsia="Times New Roman" w:cs="Times New Roman"/>
          <w:b/>
          <w:bCs/>
          <w:kern w:val="0"/>
          <w:sz w:val="28"/>
          <w:szCs w:val="28"/>
          <w:lang w:eastAsia="de-DE"/>
          <w14:ligatures w14:val="none"/>
        </w:rPr>
        <w:t>Red</w:t>
      </w:r>
      <w:proofErr w:type="spellEnd"/>
      <w:r w:rsidRPr="00EF7B83">
        <w:rPr>
          <w:rFonts w:eastAsia="Times New Roman" w:cs="Times New Roman"/>
          <w:b/>
          <w:bCs/>
          <w:kern w:val="0"/>
          <w:sz w:val="28"/>
          <w:szCs w:val="28"/>
          <w:lang w:eastAsia="de-DE"/>
          <w14:ligatures w14:val="none"/>
        </w:rPr>
        <w:t xml:space="preserve"> </w:t>
      </w:r>
      <w:proofErr w:type="spellStart"/>
      <w:r w:rsidRPr="00EF7B83">
        <w:rPr>
          <w:rFonts w:eastAsia="Times New Roman" w:cs="Times New Roman"/>
          <w:b/>
          <w:bCs/>
          <w:kern w:val="0"/>
          <w:sz w:val="28"/>
          <w:szCs w:val="28"/>
          <w:lang w:eastAsia="de-DE"/>
          <w14:ligatures w14:val="none"/>
        </w:rPr>
        <w:t>Flag</w:t>
      </w:r>
      <w:proofErr w:type="spellEnd"/>
      <w:r w:rsidRPr="00EF7B83">
        <w:rPr>
          <w:rFonts w:eastAsia="Times New Roman" w:cs="Times New Roman"/>
          <w:b/>
          <w:bCs/>
          <w:kern w:val="0"/>
          <w:sz w:val="28"/>
          <w:szCs w:val="28"/>
          <w:lang w:eastAsia="de-DE"/>
          <w14:ligatures w14:val="none"/>
        </w:rPr>
        <w:t xml:space="preserve"> für kollusives Verhalten (Netzwerkbetrug), </w:t>
      </w:r>
      <w:proofErr w:type="gramStart"/>
      <w:r w:rsidRPr="00EF7B83">
        <w:rPr>
          <w:rFonts w:eastAsia="Times New Roman" w:cs="Times New Roman"/>
          <w:b/>
          <w:bCs/>
          <w:kern w:val="0"/>
          <w:sz w:val="28"/>
          <w:szCs w:val="28"/>
          <w:lang w:eastAsia="de-DE"/>
          <w14:ligatures w14:val="none"/>
        </w:rPr>
        <w:t>bei dem Schäden</w:t>
      </w:r>
      <w:proofErr w:type="gramEnd"/>
      <w:r w:rsidRPr="00EF7B83">
        <w:rPr>
          <w:rFonts w:eastAsia="Times New Roman" w:cs="Times New Roman"/>
          <w:b/>
          <w:bCs/>
          <w:kern w:val="0"/>
          <w:sz w:val="28"/>
          <w:szCs w:val="28"/>
          <w:lang w:eastAsia="de-DE"/>
          <w14:ligatures w14:val="none"/>
        </w:rPr>
        <w:t xml:space="preserve"> </w:t>
      </w:r>
      <w:r w:rsidRPr="00EF7B83">
        <w:rPr>
          <w:rFonts w:eastAsia="Times New Roman" w:cs="Times New Roman"/>
          <w:b/>
          <w:bCs/>
          <w:kern w:val="0"/>
          <w:sz w:val="28"/>
          <w:szCs w:val="28"/>
          <w:lang w:eastAsia="de-DE"/>
          <w14:ligatures w14:val="none"/>
        </w:rPr>
        <w:lastRenderedPageBreak/>
        <w:t>gezielt an befreundete Handwerker gesteuert werden, exakt wie im bekannten Allianz-Betrugsfall.</w:t>
      </w:r>
    </w:p>
    <w:p w14:paraId="61B7C3E9" w14:textId="77777777" w:rsidR="00EF7B83" w:rsidRPr="00EF7B83" w:rsidRDefault="00EF7B83" w:rsidP="00EF7B83">
      <w:p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Frage 2: Was bedeutet "nicht einschätzbar" bei einem 3-Etagen-Fachwerkschaden fachtechnisch?</w:t>
      </w:r>
    </w:p>
    <w:p w14:paraId="61E3B854" w14:textId="77777777" w:rsidR="00EF7B83" w:rsidRPr="00EF7B83" w:rsidRDefault="00EF7B83" w:rsidP="00EF7B83">
      <w:p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Das hat einen wahren fachtechnischen Kern, bietet aber das perfekte Versteck für Betrüger.</w:t>
      </w:r>
    </w:p>
    <w:p w14:paraId="782363ED" w14:textId="77777777" w:rsidR="00EF7B83" w:rsidRPr="00EF7B83" w:rsidRDefault="00EF7B83" w:rsidP="00EF7B83">
      <w:pPr>
        <w:numPr>
          <w:ilvl w:val="0"/>
          <w:numId w:val="10"/>
        </w:num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 xml:space="preserve">Die Faktenlage: Die Trocknung und Sanierung von Fachwerkhäusern </w:t>
      </w:r>
      <w:proofErr w:type="gramStart"/>
      <w:r w:rsidRPr="00EF7B83">
        <w:rPr>
          <w:rFonts w:eastAsia="Times New Roman" w:cs="Times New Roman"/>
          <w:b/>
          <w:bCs/>
          <w:kern w:val="0"/>
          <w:sz w:val="28"/>
          <w:szCs w:val="28"/>
          <w:lang w:eastAsia="de-DE"/>
          <w14:ligatures w14:val="none"/>
        </w:rPr>
        <w:t>ist</w:t>
      </w:r>
      <w:proofErr w:type="gramEnd"/>
      <w:r w:rsidRPr="00EF7B83">
        <w:rPr>
          <w:rFonts w:eastAsia="Times New Roman" w:cs="Times New Roman"/>
          <w:b/>
          <w:bCs/>
          <w:kern w:val="0"/>
          <w:sz w:val="28"/>
          <w:szCs w:val="28"/>
          <w:lang w:eastAsia="de-DE"/>
          <w14:ligatures w14:val="none"/>
        </w:rPr>
        <w:t xml:space="preserve"> extrem schwierig, insbesondere wenn Lehmwände verbaut sind. Lehmwände können oft nicht einfach getrocknet werden, sondern müssen komplett herausgenommen und erneuert werden, was mit immensen Kosten verbunden ist, da regelmäßig auch die Holzkonstruktion (Balken) Feuchtigkeit gezogen hat. Zudem muss bei Fachwerkhäusern mühsam zwischen den rein schadenbedingten Kosten und ohnehin bestehendem, allgemeinem Sanierungsbedarf differenziert werden.</w:t>
      </w:r>
    </w:p>
    <w:p w14:paraId="00BD6D25" w14:textId="77777777" w:rsidR="00EF7B83" w:rsidRPr="00EF7B83" w:rsidRDefault="00EF7B83" w:rsidP="00EF7B83">
      <w:pPr>
        <w:numPr>
          <w:ilvl w:val="0"/>
          <w:numId w:val="10"/>
        </w:num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 xml:space="preserve">Forensische Bewertung: Ein Sanierer kann bei einem vollgesogenen 3-Etagen-Fachwerkhaus von außen tatsächlich oft nicht sofort sehen, ob die tragenden Holzbalken verfault sind oder ob der Lehm zu retten ist. Die Formulierung "nicht einschätzbar" ist also technisch nicht falsch. </w:t>
      </w:r>
      <w:r w:rsidRPr="00EF7B83">
        <w:rPr>
          <w:rFonts w:eastAsia="Times New Roman" w:cs="Times New Roman"/>
          <w:b/>
          <w:bCs/>
          <w:i/>
          <w:iCs/>
          <w:kern w:val="0"/>
          <w:sz w:val="28"/>
          <w:szCs w:val="28"/>
          <w:lang w:eastAsia="de-DE"/>
          <w14:ligatures w14:val="none"/>
        </w:rPr>
        <w:t>Aber:</w:t>
      </w:r>
      <w:r w:rsidRPr="00EF7B83">
        <w:rPr>
          <w:rFonts w:eastAsia="Times New Roman" w:cs="Times New Roman"/>
          <w:b/>
          <w:bCs/>
          <w:kern w:val="0"/>
          <w:sz w:val="28"/>
          <w:szCs w:val="28"/>
          <w:lang w:eastAsia="de-DE"/>
          <w14:ligatures w14:val="none"/>
        </w:rPr>
        <w:t xml:space="preserve"> Genau diese technische Grauzone wird hier als Deckmantel ("provozierter bzw. ausgenutzter Schaden") missbraucht. Der Berichtsersteller nutzt die Unkalkulierbarkeit von Fachwerkgebäuden, um später völlig ungestört Fantasiesummen abrufen zu können, ohne dass ein Schadenregulierer dies am Schreibtisch leicht widerlegen könnte.</w:t>
      </w:r>
    </w:p>
    <w:p w14:paraId="7E10C33C" w14:textId="77777777" w:rsidR="00EF7B83" w:rsidRPr="00EF7B83" w:rsidRDefault="00EF7B83" w:rsidP="00EF7B83">
      <w:p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Frage 3: Angebot 42K, Rechnung 0 — welche Szenarien erklären das? Welches ist wahrscheinlich?</w:t>
      </w:r>
    </w:p>
    <w:p w14:paraId="641EC7BC" w14:textId="77777777" w:rsidR="00EF7B83" w:rsidRPr="00EF7B83" w:rsidRDefault="00EF7B83" w:rsidP="00EF7B83">
      <w:p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Ein 42.000 EUR Angebot ohne anschließende Rechnung lässt sich durch zwei Hauptszenarien erklären:</w:t>
      </w:r>
    </w:p>
    <w:p w14:paraId="0BE1751B" w14:textId="77777777" w:rsidR="00EF7B83" w:rsidRPr="00EF7B83" w:rsidRDefault="00EF7B83" w:rsidP="00EF7B83">
      <w:p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 xml:space="preserve">Szenario A: Die reguläre "fiktive Abrechnung" Der Versicherungsnehmer hat das Recht, den Schaden nicht reparieren zu </w:t>
      </w:r>
      <w:r w:rsidRPr="00EF7B83">
        <w:rPr>
          <w:rFonts w:eastAsia="Times New Roman" w:cs="Times New Roman"/>
          <w:b/>
          <w:bCs/>
          <w:kern w:val="0"/>
          <w:sz w:val="28"/>
          <w:szCs w:val="28"/>
          <w:lang w:eastAsia="de-DE"/>
          <w14:ligatures w14:val="none"/>
        </w:rPr>
        <w:lastRenderedPageBreak/>
        <w:t>lassen, sondern eine "fiktive/pauschale Abrechnung" auf Basis des Kostenvoranschlags zu verlangen. Die Versicherung zahlt dann die 42.000 EUR (abzüglich Mehrwertsteuer) direkt an den Eigentümer aus. Das Sanierungsunternehmen schreibt folglich keine Rechnung, da es nie tätig wurde.</w:t>
      </w:r>
    </w:p>
    <w:p w14:paraId="63563F4F" w14:textId="77777777" w:rsidR="00EF7B83" w:rsidRPr="00EF7B83" w:rsidRDefault="00EF7B83" w:rsidP="00EF7B83">
      <w:p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Szenario B: Der "Papierschaden" (Fiktiver Schaden) Das Angebot ist eine reine Fälschung ("fiktiver Schaden") für Arbeiten, die nie existierten oder nie geplant waren. Das Netzwerk nutzt dies, um Geld aus der Versicherung zu ziehen.</w:t>
      </w:r>
    </w:p>
    <w:p w14:paraId="7EC7A3DE" w14:textId="77777777" w:rsidR="00EF7B83" w:rsidRPr="00EF7B83" w:rsidRDefault="00EF7B83" w:rsidP="00EF7B83">
      <w:p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Welches ist wahrscheinlich? (Dein forensischer Hebel): In deinem Fall ist Szenario B (oder eine kriminelle Variante von A) extrem wahrscheinlich. Die Indizienkette ist erdrückend:</w:t>
      </w:r>
    </w:p>
    <w:p w14:paraId="4BE68A9C" w14:textId="77777777" w:rsidR="00EF7B83" w:rsidRPr="00EF7B83" w:rsidRDefault="00EF7B83" w:rsidP="00EF7B83">
      <w:pPr>
        <w:numPr>
          <w:ilvl w:val="0"/>
          <w:numId w:val="11"/>
        </w:num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 xml:space="preserve">Es gibt keine echten Ortstermin-Daten (Platzhalter). Der Subunternehmer war höchstwahrscheinlich </w:t>
      </w:r>
      <w:r w:rsidRPr="00EF7B83">
        <w:rPr>
          <w:rFonts w:eastAsia="Times New Roman" w:cs="Times New Roman"/>
          <w:b/>
          <w:bCs/>
          <w:i/>
          <w:iCs/>
          <w:kern w:val="0"/>
          <w:sz w:val="28"/>
          <w:szCs w:val="28"/>
          <w:lang w:eastAsia="de-DE"/>
          <w14:ligatures w14:val="none"/>
        </w:rPr>
        <w:t>nie</w:t>
      </w:r>
      <w:r w:rsidRPr="00EF7B83">
        <w:rPr>
          <w:rFonts w:eastAsia="Times New Roman" w:cs="Times New Roman"/>
          <w:b/>
          <w:bCs/>
          <w:kern w:val="0"/>
          <w:sz w:val="28"/>
          <w:szCs w:val="28"/>
          <w:lang w:eastAsia="de-DE"/>
          <w14:ligatures w14:val="none"/>
        </w:rPr>
        <w:t xml:space="preserve"> vor Ort, um die 42.000 EUR überhaupt seriös zu kalkulieren.</w:t>
      </w:r>
    </w:p>
    <w:p w14:paraId="66607263" w14:textId="77777777" w:rsidR="00EF7B83" w:rsidRPr="00EF7B83" w:rsidRDefault="00EF7B83" w:rsidP="00EF7B83">
      <w:pPr>
        <w:numPr>
          <w:ilvl w:val="0"/>
          <w:numId w:val="11"/>
        </w:num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Die Vorab-Nominierung des Subs im Bericht beweist die Absprache.</w:t>
      </w:r>
    </w:p>
    <w:p w14:paraId="1D113980" w14:textId="77777777" w:rsidR="00EF7B83" w:rsidRPr="00EF7B83" w:rsidRDefault="00EF7B83" w:rsidP="00EF7B83">
      <w:pPr>
        <w:numPr>
          <w:ilvl w:val="0"/>
          <w:numId w:val="11"/>
        </w:num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Die Ausrede "nicht einschätzbar" wurde genutzt, um zu verschleiern, warum das 42K-Angebot so hoch ausfällt, ohne dass Messprotokolle oder Skizzen vorliegen.</w:t>
      </w:r>
    </w:p>
    <w:p w14:paraId="38D7AECE" w14:textId="77777777" w:rsidR="00EF7B83" w:rsidRPr="00EF7B83" w:rsidRDefault="00EF7B83" w:rsidP="00EF7B83">
      <w:pPr>
        <w:rPr>
          <w:rFonts w:eastAsia="Times New Roman" w:cs="Times New Roman"/>
          <w:b/>
          <w:bCs/>
          <w:kern w:val="0"/>
          <w:sz w:val="28"/>
          <w:szCs w:val="28"/>
          <w:lang w:eastAsia="de-DE"/>
          <w14:ligatures w14:val="none"/>
        </w:rPr>
      </w:pPr>
      <w:r w:rsidRPr="00EF7B83">
        <w:rPr>
          <w:rFonts w:eastAsia="Times New Roman" w:cs="Times New Roman"/>
          <w:b/>
          <w:bCs/>
          <w:kern w:val="0"/>
          <w:sz w:val="28"/>
          <w:szCs w:val="28"/>
          <w:lang w:eastAsia="de-DE"/>
          <w14:ligatures w14:val="none"/>
        </w:rPr>
        <w:t>Deine nächsten Schritte für die Ermittlung: Prüfe in den ERP-Daten der Versicherung, ob bei diesem Projekt eine "fiktive Abrechnung" genehmigt und Geld an den Versicherungsnehmer ausgezahlt wurde. Falls ja, hat sich das WSM-Netzwerk (Berichtsersteller + Subunternehmer) höchstwahrscheinlich vom Versicherungsnehmer für die Erstellung dieses "Gefälligkeits-Angebots" (das 42K auslöst) einen illegalen Kickback zahlen lassen. Das würde auch erklären, warum WSM bei anderen Projekten Verluste hinnimmt (dein Muster 3 aus der letzten Analyse) – das eigentliche Geld wird über Kickbacks bei fiktiven Großschäden verdient.</w:t>
      </w:r>
    </w:p>
    <w:p w14:paraId="2DBE7230" w14:textId="45C607DA" w:rsidR="005375C8" w:rsidRPr="005375C8" w:rsidRDefault="005375C8" w:rsidP="00EF7B83">
      <w:pPr>
        <w:rPr>
          <w:rFonts w:eastAsia="Times New Roman" w:cs="Times New Roman"/>
          <w:b/>
          <w:bCs/>
          <w:kern w:val="0"/>
          <w:sz w:val="28"/>
          <w:szCs w:val="28"/>
          <w:lang w:eastAsia="de-DE"/>
          <w14:ligatures w14:val="none"/>
        </w:rPr>
      </w:pPr>
    </w:p>
    <w:p w14:paraId="54BC9113" w14:textId="77777777" w:rsidR="00400937" w:rsidRPr="005375C8" w:rsidRDefault="00400937" w:rsidP="005375C8"/>
    <w:sectPr w:rsidR="00400937" w:rsidRPr="005375C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9CB"/>
    <w:multiLevelType w:val="multilevel"/>
    <w:tmpl w:val="CCB4C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A2BF3"/>
    <w:multiLevelType w:val="multilevel"/>
    <w:tmpl w:val="786E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339DF"/>
    <w:multiLevelType w:val="multilevel"/>
    <w:tmpl w:val="A79C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6564EA"/>
    <w:multiLevelType w:val="multilevel"/>
    <w:tmpl w:val="5A1AF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C3DF9"/>
    <w:multiLevelType w:val="multilevel"/>
    <w:tmpl w:val="97285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7559E"/>
    <w:multiLevelType w:val="multilevel"/>
    <w:tmpl w:val="8AC42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D6B1A"/>
    <w:multiLevelType w:val="multilevel"/>
    <w:tmpl w:val="018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A498E"/>
    <w:multiLevelType w:val="multilevel"/>
    <w:tmpl w:val="315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C77C4"/>
    <w:multiLevelType w:val="multilevel"/>
    <w:tmpl w:val="DDD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CB3D70"/>
    <w:multiLevelType w:val="multilevel"/>
    <w:tmpl w:val="621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5447D"/>
    <w:multiLevelType w:val="multilevel"/>
    <w:tmpl w:val="848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728180">
    <w:abstractNumId w:val="3"/>
  </w:num>
  <w:num w:numId="2" w16cid:durableId="1693337668">
    <w:abstractNumId w:val="5"/>
  </w:num>
  <w:num w:numId="3" w16cid:durableId="1746416611">
    <w:abstractNumId w:val="4"/>
  </w:num>
  <w:num w:numId="4" w16cid:durableId="1097285118">
    <w:abstractNumId w:val="7"/>
  </w:num>
  <w:num w:numId="5" w16cid:durableId="825433359">
    <w:abstractNumId w:val="8"/>
  </w:num>
  <w:num w:numId="6" w16cid:durableId="803155069">
    <w:abstractNumId w:val="10"/>
  </w:num>
  <w:num w:numId="7" w16cid:durableId="1785617921">
    <w:abstractNumId w:val="9"/>
  </w:num>
  <w:num w:numId="8" w16cid:durableId="1048577753">
    <w:abstractNumId w:val="2"/>
  </w:num>
  <w:num w:numId="9" w16cid:durableId="1739741808">
    <w:abstractNumId w:val="1"/>
  </w:num>
  <w:num w:numId="10" w16cid:durableId="1645697913">
    <w:abstractNumId w:val="6"/>
  </w:num>
  <w:num w:numId="11" w16cid:durableId="1359552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937"/>
    <w:rsid w:val="000941A2"/>
    <w:rsid w:val="00400937"/>
    <w:rsid w:val="005375C8"/>
    <w:rsid w:val="00EF7B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7D68"/>
  <w15:chartTrackingRefBased/>
  <w15:docId w15:val="{D4D186FD-3BC8-4822-BA5C-972F5D32E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00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00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0093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0093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0093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0093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0093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0093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0093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0093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0093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0093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0093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0093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0093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0093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0093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00937"/>
    <w:rPr>
      <w:rFonts w:eastAsiaTheme="majorEastAsia" w:cstheme="majorBidi"/>
      <w:color w:val="272727" w:themeColor="text1" w:themeTint="D8"/>
    </w:rPr>
  </w:style>
  <w:style w:type="paragraph" w:styleId="Titel">
    <w:name w:val="Title"/>
    <w:basedOn w:val="Standard"/>
    <w:next w:val="Standard"/>
    <w:link w:val="TitelZchn"/>
    <w:uiPriority w:val="10"/>
    <w:qFormat/>
    <w:rsid w:val="00400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0093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0093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0093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0093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00937"/>
    <w:rPr>
      <w:i/>
      <w:iCs/>
      <w:color w:val="404040" w:themeColor="text1" w:themeTint="BF"/>
    </w:rPr>
  </w:style>
  <w:style w:type="paragraph" w:styleId="Listenabsatz">
    <w:name w:val="List Paragraph"/>
    <w:basedOn w:val="Standard"/>
    <w:uiPriority w:val="34"/>
    <w:qFormat/>
    <w:rsid w:val="00400937"/>
    <w:pPr>
      <w:ind w:left="720"/>
      <w:contextualSpacing/>
    </w:pPr>
  </w:style>
  <w:style w:type="character" w:styleId="IntensiveHervorhebung">
    <w:name w:val="Intense Emphasis"/>
    <w:basedOn w:val="Absatz-Standardschriftart"/>
    <w:uiPriority w:val="21"/>
    <w:qFormat/>
    <w:rsid w:val="00400937"/>
    <w:rPr>
      <w:i/>
      <w:iCs/>
      <w:color w:val="0F4761" w:themeColor="accent1" w:themeShade="BF"/>
    </w:rPr>
  </w:style>
  <w:style w:type="paragraph" w:styleId="IntensivesZitat">
    <w:name w:val="Intense Quote"/>
    <w:basedOn w:val="Standard"/>
    <w:next w:val="Standard"/>
    <w:link w:val="IntensivesZitatZchn"/>
    <w:uiPriority w:val="30"/>
    <w:qFormat/>
    <w:rsid w:val="00400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00937"/>
    <w:rPr>
      <w:i/>
      <w:iCs/>
      <w:color w:val="0F4761" w:themeColor="accent1" w:themeShade="BF"/>
    </w:rPr>
  </w:style>
  <w:style w:type="character" w:styleId="IntensiverVerweis">
    <w:name w:val="Intense Reference"/>
    <w:basedOn w:val="Absatz-Standardschriftart"/>
    <w:uiPriority w:val="32"/>
    <w:qFormat/>
    <w:rsid w:val="004009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706</Words>
  <Characters>4448</Characters>
  <Application>Microsoft Office Word</Application>
  <DocSecurity>0</DocSecurity>
  <Lines>37</Lines>
  <Paragraphs>10</Paragraphs>
  <ScaleCrop>false</ScaleCrop>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Kauert</dc:creator>
  <cp:keywords/>
  <dc:description/>
  <cp:lastModifiedBy>Mirko Kauert</cp:lastModifiedBy>
  <cp:revision>3</cp:revision>
  <dcterms:created xsi:type="dcterms:W3CDTF">2026-04-05T07:41:00Z</dcterms:created>
  <dcterms:modified xsi:type="dcterms:W3CDTF">2026-04-05T07:41:00Z</dcterms:modified>
</cp:coreProperties>
</file>