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E4EF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Einsatzlogbuch aktualisiert. Profil geladen: Lena Voss, forensische Ermittlerin. Fokus: Systematischer Abrechnungsbetrug in Wasserschaden-Sanierung (839K EUR). Ziel: Extraktion von Branchen-Fachwissen, Identifikation von Soll-Prozessen zur Aufdeckung forensischer Abweichungen (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Red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Flags).</w:t>
      </w:r>
    </w:p>
    <w:p w14:paraId="75454830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Hier sind die Antworten auf deine Fragen, streng limitiert auf die vorliegenden Beweisdokumente. Wo die Quellen schweigen, wird dies forensisch sauber als Datenlücke ("Keine Angaben") deklariert.</w:t>
      </w:r>
    </w:p>
    <w:p w14:paraId="7DEF4F72" w14:textId="77777777" w:rsidR="00385911" w:rsidRPr="00385911" w:rsidRDefault="00385911" w:rsidP="0038591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pict w14:anchorId="30237063">
          <v:rect id="_x0000_i1025" style="width:0;height:1.5pt" o:hralign="center" o:hrstd="t" o:hr="t" fillcolor="#a0a0a0" stroked="f"/>
        </w:pict>
      </w:r>
    </w:p>
    <w:p w14:paraId="60C7CBE9" w14:textId="77777777" w:rsidR="00385911" w:rsidRPr="00385911" w:rsidRDefault="00385911" w:rsidP="003859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DATEI-EXPORT: WISSEN/wasserschaden_fachtechnik.md</w:t>
      </w:r>
    </w:p>
    <w:p w14:paraId="6BE6A174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BLOCK 1: Technische Trocknung – Grundlagen</w:t>
      </w:r>
    </w:p>
    <w:p w14:paraId="09CCC9FE" w14:textId="77777777" w:rsidR="00385911" w:rsidRPr="00385911" w:rsidRDefault="00385911" w:rsidP="00385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Standardablauf: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Der Prozess folgt einem festen Schema: 1. Feststellung und Erstmaßnahmen (Strom abschalten, Wasserzufuhr stoppen, stehendes Wasser aufnehmen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2. Schadenmeldung an den Versicherer. 3. Feststellung und Behebung der Schadenursache (inkl. Leckageortung und Dokumentation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4. Schadenaufnahme (Festlegung des Umfangs) und eventueller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Rückbau,.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5. Trocknung (natürlich oder technisch). 6. Wiederherstellung/Instandsetzung. 7. Abnahme durch den Auftraggeber.</w:t>
      </w:r>
    </w:p>
    <w:p w14:paraId="106DC9A7" w14:textId="77777777" w:rsidR="00385911" w:rsidRPr="00385911" w:rsidRDefault="00385911" w:rsidP="00385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Gerätetypen: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</w:t>
      </w:r>
    </w:p>
    <w:p w14:paraId="5EDDBDDE" w14:textId="77777777" w:rsidR="00385911" w:rsidRPr="00385911" w:rsidRDefault="00385911" w:rsidP="00385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Kondenstrockner &amp; Adsorptionstrockner: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Entziehen der Raumluft die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Feuchtigkeit,.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Adsorptionstrockner eignen sich auch für die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Hohlraumtrocknung,.</w:t>
      </w:r>
      <w:proofErr w:type="gramEnd"/>
    </w:p>
    <w:p w14:paraId="7BC9E24F" w14:textId="77777777" w:rsidR="00385911" w:rsidRPr="00385911" w:rsidRDefault="00385911" w:rsidP="00385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Gebläse / Seitenkanalverdichter-Turbinen: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Dienen der Zirkulation, dem Austausch der Raumluft sowie dem Blasen und Saugen (Dämmschicht- und Hohlraumtrocknung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),,.</w:t>
      </w:r>
      <w:proofErr w:type="gramEnd"/>
    </w:p>
    <w:p w14:paraId="0AFBE9C9" w14:textId="77777777" w:rsidR="00385911" w:rsidRPr="00385911" w:rsidRDefault="00385911" w:rsidP="00385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Wärmeplatten / Mikrowelle: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Erwärmung des Bauteils bzw. der Wassermoleküle (für massive Bauteile und Oberflächen, nicht für Hohlräume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),,.</w:t>
      </w:r>
      <w:proofErr w:type="gramEnd"/>
    </w:p>
    <w:p w14:paraId="7D448BDF" w14:textId="77777777" w:rsidR="00385911" w:rsidRPr="00385911" w:rsidRDefault="00385911" w:rsidP="00385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Normale Trocknungsdauern: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VdS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3150 definiert strikte Regeltrocknungszeiten bei sachgerechtem Aufbau. Für Dämmschichten: Polystyrol (14 Tage), Extrudierter Hartschaum (14 Tage), Mineralfasern (14–21 Tage), Perlite (14–18 Tage), Schüttungen (14–21 Tage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Für massive Bauteile: Massives Mauerwerk (14 Tage), Gipsdielenwände (14 Tage), Verbundestrich (14 Tage), Hohlblocksteine (14–21 Tage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),.</w:t>
      </w:r>
      <w:proofErr w:type="gramEnd"/>
    </w:p>
    <w:p w14:paraId="49B6F1A2" w14:textId="77777777" w:rsidR="00385911" w:rsidRPr="00385911" w:rsidRDefault="00385911" w:rsidP="00385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lastRenderedPageBreak/>
        <w:t>Feuchtewerte &amp; Grenzwerte: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Ziel ist die "Ausgleichsfeuchte" (vom Schaden unbeeinflusste Feuchtigkeit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Konkrete prozentuale Grenzwerte pro Material liefern die Quellen </w:t>
      </w: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nicht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.</w:t>
      </w:r>
    </w:p>
    <w:p w14:paraId="0A60A501" w14:textId="77777777" w:rsidR="00385911" w:rsidRPr="00385911" w:rsidRDefault="00385911" w:rsidP="00385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Richtlinien: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WTA-Richtlinie (Merkblatt 6-16) behandelt die Planung, Ausführung und Kontrolle der technischen Trocknung durchfeuchteter Bauteile. Zur DIN 18560 liefern die Quellen </w:t>
      </w: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keine Angaben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.</w:t>
      </w:r>
    </w:p>
    <w:p w14:paraId="38A6BFFA" w14:textId="77777777" w:rsidR="00385911" w:rsidRPr="00385911" w:rsidRDefault="00385911" w:rsidP="00385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Leckortung: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Methoden wie Thermografie oder 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Tracergas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werden in den Quellen </w:t>
      </w: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nicht explizit genannt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. Erwähnt werden die "Druckprüfung" sowie die Forderung, dass die Lokalisierung "zerstörungsfrei oder zerstörungsarm" erfolgen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muss,,.</w:t>
      </w:r>
      <w:proofErr w:type="gramEnd"/>
    </w:p>
    <w:p w14:paraId="701F9E87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BLOCK 2: Abrechnungslogik der Trocknung</w:t>
      </w:r>
    </w:p>
    <w:p w14:paraId="0811908A" w14:textId="77777777" w:rsidR="00385911" w:rsidRPr="00385911" w:rsidRDefault="00385911" w:rsidP="00385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Gerätetag &amp; Tagespreise: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Definition des "Gerätetags" und konkrete Tagespreise in Euro fehlen in den Quellen. Es wird jedoch zwingend gefordert, dass Trocknungsanlagen über einen eigenen Stromverbrauchszähler (kWh) – idealerweise MID-konform und manipulationssicher – verfügen, um die echten Energiekosten zu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erstatten,,,.</w:t>
      </w:r>
      <w:proofErr w:type="gramEnd"/>
    </w:p>
    <w:p w14:paraId="24E2BC66" w14:textId="77777777" w:rsidR="00385911" w:rsidRPr="00385911" w:rsidRDefault="00385911" w:rsidP="00385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Rechnungspositionen &amp; Durchschnittskosten: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Typische Kostenvoranschläge enthalten Positionen für Leckageortung, Trocknung, diverse Handwerksarbeiten (Maler, Tischler, Elektro, Fliesen etc.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Detaillierte Abrechnungspositionen (Anfahrt, Abbau, Entsorgung) oder Durchschnittskosten für Küche/Bad/Keller sind in den Quellen </w:t>
      </w: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nicht enthalten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.</w:t>
      </w:r>
    </w:p>
    <w:p w14:paraId="29626CB9" w14:textId="77777777" w:rsidR="00385911" w:rsidRPr="00385911" w:rsidRDefault="00385911" w:rsidP="00385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Abrechnungsprozess: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Der Gebäudeeigentümer ist meist Auftraggeber und hat den Abnahmeanspruch. Die Zahlung leistet der Versicherer (Schadeninnendienst) an den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Versicherungsnehmer,.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Mittels einer </w:t>
      </w: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Abtretungserklärung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kann der Versicherer den Brutto-Rechnungsbetrag auch direkt an die Sanierungsfirma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überweisen,.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Es gibt "fiktive/pauschale Abrechnungen" sowie Abwicklungen "auf Basis von Belegen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",.</w:t>
      </w:r>
      <w:proofErr w:type="gramEnd"/>
    </w:p>
    <w:p w14:paraId="3FF1BC9D" w14:textId="77777777" w:rsidR="00385911" w:rsidRPr="00385911" w:rsidRDefault="00385911" w:rsidP="00385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Leistungsverzeichnis (LV):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Wird in den Quellen </w:t>
      </w: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nicht spezifiziert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.</w:t>
      </w:r>
    </w:p>
    <w:p w14:paraId="37DDB0D9" w14:textId="77777777" w:rsidR="00385911" w:rsidRPr="00385911" w:rsidRDefault="00385911" w:rsidP="0038591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pict w14:anchorId="5A9B5EE7">
          <v:rect id="_x0000_i1026" style="width:0;height:1.5pt" o:hralign="center" o:hrstd="t" o:hr="t" fillcolor="#a0a0a0" stroked="f"/>
        </w:pict>
      </w:r>
    </w:p>
    <w:p w14:paraId="4ED63831" w14:textId="77777777" w:rsidR="00385911" w:rsidRPr="00385911" w:rsidRDefault="00385911" w:rsidP="003859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DATEI-EXPORT: WISSEN/versicherungsregulierung.md</w:t>
      </w:r>
    </w:p>
    <w:p w14:paraId="0B3694F5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BLOCK 3: Regulierungsprozess Versicherung</w:t>
      </w:r>
    </w:p>
    <w:p w14:paraId="47FD36B9" w14:textId="77777777" w:rsidR="00385911" w:rsidRPr="00385911" w:rsidRDefault="00385911" w:rsidP="00385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lastRenderedPageBreak/>
        <w:t>Rolle des Sachverständigen (SV):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SV (oft extern) verfügt über besondere Sachkunde zur Ursachenfeststellung, Bewertung von feuchten Baustoffen, Ermittlung der Reparaturkosten und Festlegung des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Sanierungsumfangs,.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Im Streitfall (Sachverständigenverfahren) benennen Versicherer und Versicherungsnehmer jeweils einen eigenen SV, die gemeinsam das Gutachten erstellen oder einen Obmann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hinzuziehen,,.</w:t>
      </w:r>
      <w:proofErr w:type="gramEnd"/>
    </w:p>
    <w:p w14:paraId="58292821" w14:textId="77777777" w:rsidR="00385911" w:rsidRPr="00385911" w:rsidRDefault="00385911" w:rsidP="00385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Gutachterauftrag vs. Regulierungsauftrag: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Eine trennscharfe Unterscheidung zwischen diesen Vertragsarten bieten die Quellen </w:t>
      </w: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nicht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. Es wird lediglich ein "Schadenregulierer" (Begleiter vor Ort) vom "Sachverständigen" (Fachexperte für komplexe Schäden)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abgegrenzt,.</w:t>
      </w:r>
      <w:proofErr w:type="gramEnd"/>
    </w:p>
    <w:p w14:paraId="3DF55A6C" w14:textId="77777777" w:rsidR="00385911" w:rsidRPr="00385911" w:rsidRDefault="00385911" w:rsidP="00385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Schwellenwerte &amp; SV-Einsatz: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eigener unabhängiger Sachverständiger für den Geschädigten wird ab einer Schadenshöhe von 50.000 EUR wirtschaftlich empfohlen, da versicherungsnahe Gutachter Schäden durchschnittlich 38 % zu niedrig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bewerten,.</w:t>
      </w:r>
      <w:proofErr w:type="gramEnd"/>
    </w:p>
    <w:p w14:paraId="089AB24F" w14:textId="77777777" w:rsidR="00385911" w:rsidRPr="00385911" w:rsidRDefault="00385911" w:rsidP="00385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Abtretungserklärung: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Ermöglicht die direkte Überweisung der Entschädigung vom Versicherer an den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Sanierer,.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Der Versicherungsnehmer bleibt jedoch Auftraggeber, erteilt die Abnahme und hat die Gewährleistungsansprüche gegenüber der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Sanierungsfirma,.</w:t>
      </w:r>
      <w:proofErr w:type="gramEnd"/>
    </w:p>
    <w:p w14:paraId="31B748B5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BLOCK 4: Manipulationsvektoren &amp; Forensische Muster</w:t>
      </w:r>
    </w:p>
    <w:p w14:paraId="5F6D1095" w14:textId="77777777" w:rsidR="00385911" w:rsidRPr="00385911" w:rsidRDefault="00385911" w:rsidP="00385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Überabrechnungsmuster: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</w:t>
      </w:r>
    </w:p>
    <w:p w14:paraId="7622133F" w14:textId="77777777" w:rsidR="00385911" w:rsidRPr="00385911" w:rsidRDefault="00385911" w:rsidP="00385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Fiktiver Schaden: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Der Schaden existiert nicht, Rechnungen sind reine Fälschungen (Papierschaden).</w:t>
      </w:r>
    </w:p>
    <w:p w14:paraId="1449400A" w14:textId="77777777" w:rsidR="00385911" w:rsidRPr="00385911" w:rsidRDefault="00385911" w:rsidP="00385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Ausgenutzter Schaden: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realer Schaden wird genutzt, um die tatsächliche Schadenhöhe vorsätzlich zu erhöhen (Übertreibung).</w:t>
      </w:r>
    </w:p>
    <w:p w14:paraId="592A85B1" w14:textId="77777777" w:rsidR="00385911" w:rsidRPr="00385911" w:rsidRDefault="00385911" w:rsidP="00385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Unnötig lange Laufzeiten: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Sanierer stellen Geräte länger auf als nötig. Durch neue "Akkord-Trocknungssysteme" (z. B. IoT-Fernüberwachung) lassen sich Leerfahrten und unnötige Betriebszeiten heute eigentlich komplett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ausschließen,.</w:t>
      </w:r>
      <w:proofErr w:type="gramEnd"/>
    </w:p>
    <w:p w14:paraId="4F57AAC5" w14:textId="77777777" w:rsidR="00385911" w:rsidRPr="00385911" w:rsidRDefault="00385911" w:rsidP="00385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Feuchtewerte manipulieren: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Dokumentation bietet massiv Angriffsfläche. Zu den bekannten Fehlerquellen gehören: </w:t>
      </w:r>
    </w:p>
    <w:p w14:paraId="713F2EBD" w14:textId="77777777" w:rsidR="00385911" w:rsidRPr="00385911" w:rsidRDefault="00385911" w:rsidP="00385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Widerstandsmessung an Stellen mit verborgenem Metall oder Salzen (verfälscht Werte nach oben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),,.</w:t>
      </w:r>
      <w:proofErr w:type="gramEnd"/>
    </w:p>
    <w:p w14:paraId="1FF10D6F" w14:textId="77777777" w:rsidR="00385911" w:rsidRPr="00385911" w:rsidRDefault="00385911" w:rsidP="00385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Hygrometrische Messung ohne Ruhestand der Luft oder ohne Anpassung des Sensors an die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Umgebungstemperatur,.</w:t>
      </w:r>
      <w:proofErr w:type="gramEnd"/>
    </w:p>
    <w:p w14:paraId="7D9D3011" w14:textId="77777777" w:rsidR="00385911" w:rsidRPr="00385911" w:rsidRDefault="00385911" w:rsidP="00385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>Dielektrometrie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: Falsche Skaleneinstellung, Beeinflussung durch Handauflegen, Missachtung des Abstands (10 cm) zu auf-/absteigenden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Bauteilen,.</w:t>
      </w:r>
      <w:proofErr w:type="gramEnd"/>
    </w:p>
    <w:p w14:paraId="1249E6BA" w14:textId="77777777" w:rsidR="00385911" w:rsidRPr="00385911" w:rsidRDefault="00385911" w:rsidP="00385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Fehlende Probenentnahme (Tiefenmessung wird ignoriert, es wird nur die Oberfläche abgetastet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),.</w:t>
      </w:r>
      <w:proofErr w:type="gramEnd"/>
    </w:p>
    <w:p w14:paraId="38252C70" w14:textId="77777777" w:rsidR="00385911" w:rsidRPr="00385911" w:rsidRDefault="00385911" w:rsidP="00385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Rückbauten: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goldene Regel für Rückbau lautet: "So wenig wie möglich, so zerstörungsarm wie möglich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",.</w:t>
      </w:r>
      <w:proofErr w:type="gram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Werden systematisch unbeschädigte Duschtassen oder Wandvertäfelungen komplett abgerissen statt materialschonend demontiert, ist dies ein rotes Tuch.</w:t>
      </w:r>
    </w:p>
    <w:p w14:paraId="05268761" w14:textId="77777777" w:rsidR="00385911" w:rsidRPr="00385911" w:rsidRDefault="00385911" w:rsidP="00385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Kollusive Zusammenarbeit (Warnsignale):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 massives 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Red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Flag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für kollusives Verhalten (Netzwerkbetrug) ist gegeben, wenn ein Vermittler/Regulierer aktiv Schäden an sich zieht, für die er nach internen Regeln eigentlich nicht zuständig ist, und diese Schäden stets mit demselben Handwerker-Netzwerk abwickelt.</w:t>
      </w:r>
    </w:p>
    <w:p w14:paraId="32243AAD" w14:textId="77777777" w:rsidR="00385911" w:rsidRPr="00385911" w:rsidRDefault="00385911" w:rsidP="00385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Allgemeine </w:t>
      </w:r>
      <w:proofErr w:type="spellStart"/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Red</w:t>
      </w:r>
      <w:proofErr w:type="spellEnd"/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Flags: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Hohe Barauszahlungen vom Konto des Versicherungsnehmers kurz nach Auszahlung der Schadenssumme. Sachverständige stellen fest, dass Handwerkerleistungen (z. B. Fliesenlegen), die auf der Rechnung stehen, tatsächlich unberührt blieben.</w:t>
      </w:r>
    </w:p>
    <w:p w14:paraId="32EBDFA8" w14:textId="77777777" w:rsidR="00385911" w:rsidRPr="00385911" w:rsidRDefault="00385911" w:rsidP="0038591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pict w14:anchorId="1594B510">
          <v:rect id="_x0000_i1027" style="width:0;height:1.5pt" o:hralign="center" o:hrstd="t" o:hr="t" fillcolor="#a0a0a0" stroked="f"/>
        </w:pict>
      </w:r>
    </w:p>
    <w:p w14:paraId="1DEFFD96" w14:textId="77777777" w:rsidR="00385911" w:rsidRPr="00385911" w:rsidRDefault="00385911" w:rsidP="003859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NEUE SIGNALE &amp; SCHWELLENWERTE FÜR KATEGORIE 11 (Wasserschaden-spezifisch)</w:t>
      </w:r>
    </w:p>
    <w:p w14:paraId="1AE016E5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Aus den extrahierten Domänendaten ergeben sich folgende knallharte Schwellenwerte für deine Datenanalyse (839K EUR Fall):</w:t>
      </w:r>
    </w:p>
    <w:p w14:paraId="21DB19E6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W-01: Dauer-Anomalie (Geräte-Standzeit)</w:t>
      </w:r>
    </w:p>
    <w:p w14:paraId="6D7D43B3" w14:textId="77777777" w:rsidR="00385911" w:rsidRPr="00385911" w:rsidRDefault="00385911" w:rsidP="00385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Logik: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VdS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-Regeltrocknungszeiten für gängige Materialien betragen maximal 21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Tage,.</w:t>
      </w:r>
      <w:proofErr w:type="gramEnd"/>
    </w:p>
    <w:p w14:paraId="799B1E3D" w14:textId="77777777" w:rsidR="00385911" w:rsidRPr="00385911" w:rsidRDefault="00385911" w:rsidP="003859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Signal-Trigger: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Rechnungen, die Gerätetage &gt; 21 Tage für reguläre Estriche, Mauerwerke oder Dämmschichten aufweisen, ohne dass eine gesonderte wirtschaftliche/technische Begründung im Trocknungsprotokoll vorliegt.</w:t>
      </w:r>
    </w:p>
    <w:p w14:paraId="4EE3FFDF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W-02: Energie- vs. Kapazitäts-</w:t>
      </w:r>
      <w:proofErr w:type="spellStart"/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Mismatch</w:t>
      </w:r>
      <w:proofErr w:type="spellEnd"/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 xml:space="preserve"> (Ghost-Devices)</w:t>
      </w:r>
    </w:p>
    <w:p w14:paraId="1BDBF5A4" w14:textId="77777777" w:rsidR="00385911" w:rsidRPr="00385911" w:rsidRDefault="00385911" w:rsidP="00385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Logik: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Moderne Geräte verbrauchen je nach Stufe 0,12 bis 1,2 kW, alte Seitenkanalverdichter bis 3 kW. Die Stromabrechnung erfolgt zwingend über einen Stromzähler.</w:t>
      </w:r>
    </w:p>
    <w:p w14:paraId="606B5012" w14:textId="77777777" w:rsidR="00385911" w:rsidRPr="00385911" w:rsidRDefault="00385911" w:rsidP="00385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lastRenderedPageBreak/>
        <w:t>Signal-Trigger: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Die abgerechneten Gerätetage multipliziert mit der Leistung passen nicht zum Stromverbrauchsprotokoll (kWh-Zähler). Entweder liefen die Geräte nicht, oder es wurden mehr Geräte abgerechnet, als Strom verbraucht wurde.</w:t>
      </w:r>
    </w:p>
    <w:p w14:paraId="0FEBA4EC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W-03: Protokoll-Diskrepanz (Messmanipulation)</w:t>
      </w:r>
    </w:p>
    <w:p w14:paraId="5E22B82A" w14:textId="77777777" w:rsidR="00385911" w:rsidRPr="00385911" w:rsidRDefault="00385911" w:rsidP="00385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Logik: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Eine korrekte Dokumentation erfordert zwingend eine Skizze mit eingetragenen Messpunkten (Position und Höhenlage), die physikalische Messeinheit, das Messgerät und die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Messmethode,,.</w:t>
      </w:r>
      <w:proofErr w:type="gramEnd"/>
    </w:p>
    <w:p w14:paraId="75001991" w14:textId="77777777" w:rsidR="00385911" w:rsidRPr="00385911" w:rsidRDefault="00385911" w:rsidP="00385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Signal-Trigger: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Fehlende Messpunkt-Grundrisse; ausschließliche Verwendung von Oberflächen-Messungen (Hochfrequenz/Dielektrisch) an Fliesen ohne Darr- oder CM-Probenentnahme bei angeblich tiefen 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Dämmschichtschäden,,.</w:t>
      </w:r>
      <w:proofErr w:type="gramEnd"/>
    </w:p>
    <w:p w14:paraId="1FE1C89D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W-04: Das "Zuständigkeits-Syndrom" (Kollusions-Check)</w:t>
      </w:r>
    </w:p>
    <w:p w14:paraId="33D9E91B" w14:textId="77777777" w:rsidR="00385911" w:rsidRPr="00385911" w:rsidRDefault="00385911" w:rsidP="00385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Logik: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Basierend auf dem Präzedenzfall (Allianz).</w:t>
      </w:r>
    </w:p>
    <w:p w14:paraId="49D081E1" w14:textId="77777777" w:rsidR="00385911" w:rsidRPr="00385911" w:rsidRDefault="00385911" w:rsidP="003859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Signal-Trigger: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Identifiziere in den ERP-Logs der Versicherung, ob ein spezifischer Regulierer/Schadensachbearbeiter auffällig viele Schadensfälle manuell seinem Portfolio zugewiesen hat (Routing-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Override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), und ob diese überproportional häufig bei dem verdächtigen Sanierungsunternehmen landeten.</w:t>
      </w:r>
    </w:p>
    <w:p w14:paraId="5F13831B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W-05: IoT &amp; Fernüberwachungs-Blackout</w:t>
      </w:r>
    </w:p>
    <w:p w14:paraId="0A999201" w14:textId="77777777" w:rsidR="00385911" w:rsidRPr="00385911" w:rsidRDefault="00385911" w:rsidP="00385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Logik: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Neue Branchenstandards (z. B. 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Trotec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DA 4 Qube, </w:t>
      </w:r>
      <w:proofErr w:type="spell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MQDatamonitor</w:t>
      </w:r>
      <w:proofErr w:type="spellEnd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) haben integrierte USB-Datenlogger (bis 2000 Tage) und GSM-</w:t>
      </w:r>
      <w:proofErr w:type="gramStart"/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Modems,.</w:t>
      </w:r>
      <w:proofErr w:type="gramEnd"/>
    </w:p>
    <w:p w14:paraId="4082F91E" w14:textId="77777777" w:rsidR="00385911" w:rsidRPr="00385911" w:rsidRDefault="00385911" w:rsidP="00385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Signal-Trigger:</w:t>
      </w:r>
      <w:r w:rsidRPr="00385911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Das Sanierungsunternehmen stellt Premium/Hightech-Geräte in Rechnung, produziert aber extrem lange Trocknungszeiten (die durch die automatische Nach-Trocknungs-Erkennung solcher Geräte eigentlich blockiert werden) und kann auf Nachfrage keine digitalen Log-Exporte (USB/CSV) des Feuchtigkeitsverlaufs vorweisen.</w:t>
      </w:r>
    </w:p>
    <w:p w14:paraId="7B9BDC0C" w14:textId="77777777" w:rsidR="00385911" w:rsidRPr="00385911" w:rsidRDefault="00385911" w:rsidP="00385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385911">
        <w:rPr>
          <w:rFonts w:eastAsia="Times New Roman" w:cs="Times New Roman"/>
          <w:i/>
          <w:iCs/>
          <w:kern w:val="0"/>
          <w:sz w:val="28"/>
          <w:szCs w:val="28"/>
          <w:lang w:eastAsia="de-DE"/>
          <w14:ligatures w14:val="none"/>
        </w:rPr>
        <w:t>(Lena, konzentriere dich zuerst auf W-01 und W-02. Wenn du die abgerechneten Tage mit der Norm von 14-21 Tagen abgleichst und das mit den abgerechneten kWh kreuzt, hast du bei einem 839K-Schaden sofort die fiktiven Positionen isoliert.)</w:t>
      </w:r>
    </w:p>
    <w:p w14:paraId="10EEE7E6" w14:textId="77777777" w:rsidR="00385911" w:rsidRDefault="00385911"/>
    <w:sectPr w:rsidR="003859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5226"/>
    <w:multiLevelType w:val="multilevel"/>
    <w:tmpl w:val="9760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4BBD"/>
    <w:multiLevelType w:val="multilevel"/>
    <w:tmpl w:val="6EC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0F9B"/>
    <w:multiLevelType w:val="multilevel"/>
    <w:tmpl w:val="D55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44F2"/>
    <w:multiLevelType w:val="multilevel"/>
    <w:tmpl w:val="61C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D6137"/>
    <w:multiLevelType w:val="multilevel"/>
    <w:tmpl w:val="715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D1C49"/>
    <w:multiLevelType w:val="multilevel"/>
    <w:tmpl w:val="840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408E4"/>
    <w:multiLevelType w:val="multilevel"/>
    <w:tmpl w:val="809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22672"/>
    <w:multiLevelType w:val="multilevel"/>
    <w:tmpl w:val="2FE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F46D9"/>
    <w:multiLevelType w:val="multilevel"/>
    <w:tmpl w:val="710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82024">
    <w:abstractNumId w:val="1"/>
  </w:num>
  <w:num w:numId="2" w16cid:durableId="736972899">
    <w:abstractNumId w:val="0"/>
  </w:num>
  <w:num w:numId="3" w16cid:durableId="1810782219">
    <w:abstractNumId w:val="4"/>
  </w:num>
  <w:num w:numId="4" w16cid:durableId="810361912">
    <w:abstractNumId w:val="6"/>
  </w:num>
  <w:num w:numId="5" w16cid:durableId="1976197">
    <w:abstractNumId w:val="3"/>
  </w:num>
  <w:num w:numId="6" w16cid:durableId="245039636">
    <w:abstractNumId w:val="7"/>
  </w:num>
  <w:num w:numId="7" w16cid:durableId="1406025840">
    <w:abstractNumId w:val="8"/>
  </w:num>
  <w:num w:numId="8" w16cid:durableId="1613978984">
    <w:abstractNumId w:val="5"/>
  </w:num>
  <w:num w:numId="9" w16cid:durableId="1702894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11"/>
    <w:rsid w:val="000941A2"/>
    <w:rsid w:val="0038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241"/>
  <w15:chartTrackingRefBased/>
  <w15:docId w15:val="{4257CE73-2E76-4649-8814-EABC0321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59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59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59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59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59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59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59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59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59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59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1291</Words>
  <Characters>8135</Characters>
  <Application>Microsoft Office Word</Application>
  <DocSecurity>0</DocSecurity>
  <Lines>67</Lines>
  <Paragraphs>18</Paragraphs>
  <ScaleCrop>false</ScaleCrop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1</cp:revision>
  <dcterms:created xsi:type="dcterms:W3CDTF">2026-04-05T07:08:00Z</dcterms:created>
  <dcterms:modified xsi:type="dcterms:W3CDTF">2026-04-05T07:09:00Z</dcterms:modified>
</cp:coreProperties>
</file>