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70D6" w14:textId="77777777" w:rsidR="00F63DFC" w:rsidRPr="00F63DFC" w:rsidRDefault="00F63DFC" w:rsidP="00F63DFC">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F63DFC">
        <w:rPr>
          <w:rFonts w:eastAsia="Times New Roman" w:cs="Times New Roman"/>
          <w:b/>
          <w:bCs/>
          <w:kern w:val="0"/>
          <w:sz w:val="28"/>
          <w:szCs w:val="28"/>
          <w:lang w:eastAsia="de-DE"/>
          <w14:ligatures w14:val="none"/>
        </w:rPr>
        <w:t>BLOCK A: Was kostet Trocknung?</w:t>
      </w:r>
    </w:p>
    <w:p w14:paraId="461AAB2B"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1. Definition Gerätetag:</w:t>
      </w:r>
      <w:r w:rsidRPr="00F63DFC">
        <w:rPr>
          <w:rFonts w:eastAsia="Times New Roman" w:cs="Times New Roman"/>
          <w:kern w:val="0"/>
          <w:sz w:val="28"/>
          <w:szCs w:val="28"/>
          <w:lang w:eastAsia="de-DE"/>
          <w14:ligatures w14:val="none"/>
        </w:rPr>
        <w:t xml:space="preserve"> Eine exakte brancheneinheitliche Definition (wie etwa 24 Stunden, Kalendertag oder reine Betriebsstunde) wird in den vorliegenden Dokumenten nicht genannt. Es ist jedoch vorgeschrieben, dass Trocknungsanlagen über einen eigenen Stromverbrauchszähler (in kWh) verfügen müssen, um dem Kunden die tatsächlichen Energiekosten zu erstatten. Moderne Geräte erfassen über MID-konforme Dualzähler parallel die Kilowattstunden und die Betriebsstunden.</w:t>
      </w:r>
    </w:p>
    <w:p w14:paraId="082559FB"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2. Kosten pro Gerätetag (EUR):</w:t>
      </w:r>
      <w:r w:rsidRPr="00F63DFC">
        <w:rPr>
          <w:rFonts w:eastAsia="Times New Roman" w:cs="Times New Roman"/>
          <w:kern w:val="0"/>
          <w:sz w:val="28"/>
          <w:szCs w:val="28"/>
          <w:lang w:eastAsia="de-DE"/>
          <w14:ligatures w14:val="none"/>
        </w:rPr>
        <w:t xml:space="preserve"> Die Quellen enthalten hierzu keine Angaben.</w:t>
      </w:r>
    </w:p>
    <w:p w14:paraId="1BF99EFE"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3. Kosten für komplette Trocknungen (Bad, Wohnung, Keller):</w:t>
      </w:r>
      <w:r w:rsidRPr="00F63DFC">
        <w:rPr>
          <w:rFonts w:eastAsia="Times New Roman" w:cs="Times New Roman"/>
          <w:kern w:val="0"/>
          <w:sz w:val="28"/>
          <w:szCs w:val="28"/>
          <w:lang w:eastAsia="de-DE"/>
          <w14:ligatures w14:val="none"/>
        </w:rPr>
        <w:t xml:space="preserve"> Die Quellen enthalten keine Angaben oder Richtwerte in Euro für spezifische Raumgrößen.</w:t>
      </w:r>
    </w:p>
    <w:p w14:paraId="52554193"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4. Einzelpositionen auf einer Trocknungsrechnung:</w:t>
      </w:r>
      <w:r w:rsidRPr="00F63DFC">
        <w:rPr>
          <w:rFonts w:eastAsia="Times New Roman" w:cs="Times New Roman"/>
          <w:kern w:val="0"/>
          <w:sz w:val="28"/>
          <w:szCs w:val="28"/>
          <w:lang w:eastAsia="de-DE"/>
          <w14:ligatures w14:val="none"/>
        </w:rPr>
        <w:t xml:space="preserve"> Eine standardisierte Rechnungsvorlage mit festen Einheiten wird nicht aufgeführt, jedoch listet das </w:t>
      </w:r>
      <w:proofErr w:type="spellStart"/>
      <w:r w:rsidRPr="00F63DFC">
        <w:rPr>
          <w:rFonts w:eastAsia="Times New Roman" w:cs="Times New Roman"/>
          <w:kern w:val="0"/>
          <w:sz w:val="28"/>
          <w:szCs w:val="28"/>
          <w:lang w:eastAsia="de-DE"/>
          <w14:ligatures w14:val="none"/>
        </w:rPr>
        <w:t>VdS</w:t>
      </w:r>
      <w:proofErr w:type="spellEnd"/>
      <w:r w:rsidRPr="00F63DFC">
        <w:rPr>
          <w:rFonts w:eastAsia="Times New Roman" w:cs="Times New Roman"/>
          <w:kern w:val="0"/>
          <w:sz w:val="28"/>
          <w:szCs w:val="28"/>
          <w:lang w:eastAsia="de-DE"/>
          <w14:ligatures w14:val="none"/>
        </w:rPr>
        <w:t xml:space="preserve">-Muster zur Schadendokumentation folgende typische Arbeitsbereiche auf: Leckageortung, Trocknung, Malerarbeiten, Tischlerarbeiten, Elektroarbeiten, Fliesenarbeiten, Trockenbauarbeiten, Bodenbelagsarbeiten, </w:t>
      </w:r>
      <w:proofErr w:type="spellStart"/>
      <w:r w:rsidRPr="00F63DFC">
        <w:rPr>
          <w:rFonts w:eastAsia="Times New Roman" w:cs="Times New Roman"/>
          <w:kern w:val="0"/>
          <w:sz w:val="28"/>
          <w:szCs w:val="28"/>
          <w:lang w:eastAsia="de-DE"/>
          <w14:ligatures w14:val="none"/>
        </w:rPr>
        <w:t>Installateurarbeiten</w:t>
      </w:r>
      <w:proofErr w:type="spellEnd"/>
      <w:r w:rsidRPr="00F63DFC">
        <w:rPr>
          <w:rFonts w:eastAsia="Times New Roman" w:cs="Times New Roman"/>
          <w:kern w:val="0"/>
          <w:sz w:val="28"/>
          <w:szCs w:val="28"/>
          <w:lang w:eastAsia="de-DE"/>
          <w14:ligatures w14:val="none"/>
        </w:rPr>
        <w:t xml:space="preserve"> und Maurerarbeiten. Weiterhin werden Auf- und Abbau, An- und Abfahrt, Fahrstrecke (in km) sowie die reine Arbeitszeit (in Std.) erfasst. Zur Sanierung gehören oftmals auch Schadstoffprüfung, Rückbau, Entsorgung, keimreduzierende Maßnahmen und die abschließende Feinreinigung.</w:t>
      </w:r>
    </w:p>
    <w:p w14:paraId="2BC1934C"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5. Pauschalabrechnung vs. Einzelpositionen:</w:t>
      </w:r>
      <w:r w:rsidRPr="00F63DFC">
        <w:rPr>
          <w:rFonts w:eastAsia="Times New Roman" w:cs="Times New Roman"/>
          <w:kern w:val="0"/>
          <w:sz w:val="28"/>
          <w:szCs w:val="28"/>
          <w:lang w:eastAsia="de-DE"/>
          <w14:ligatures w14:val="none"/>
        </w:rPr>
        <w:t xml:space="preserve"> Beide Modelle sind laut den Richtlinien zulässig: Es kann eine "fiktive/pauschale Abrechnung" (</w:t>
      </w:r>
      <w:proofErr w:type="gramStart"/>
      <w:r w:rsidRPr="00F63DFC">
        <w:rPr>
          <w:rFonts w:eastAsia="Times New Roman" w:cs="Times New Roman"/>
          <w:kern w:val="0"/>
          <w:sz w:val="28"/>
          <w:szCs w:val="28"/>
          <w:lang w:eastAsia="de-DE"/>
          <w14:ligatures w14:val="none"/>
        </w:rPr>
        <w:t>etwa</w:t>
      </w:r>
      <w:proofErr w:type="gramEnd"/>
      <w:r w:rsidRPr="00F63DFC">
        <w:rPr>
          <w:rFonts w:eastAsia="Times New Roman" w:cs="Times New Roman"/>
          <w:kern w:val="0"/>
          <w:sz w:val="28"/>
          <w:szCs w:val="28"/>
          <w:lang w:eastAsia="de-DE"/>
          <w14:ligatures w14:val="none"/>
        </w:rPr>
        <w:t xml:space="preserve"> wenn der Kunde in Eigenleistung saniert) oder eine Abwicklung "auf Basis von Belegen" erfolgen. Schwellenwerte, ab wann welches Modell zu nutzen ist, oder Präferenzen der Versicherer werden in den Quellen nicht genannt.</w:t>
      </w:r>
    </w:p>
    <w:p w14:paraId="3C3C9DDB"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6. Typische Pauschalen (Anfahrt, Leckortung, Kontrollmessung):</w:t>
      </w:r>
      <w:r w:rsidRPr="00F63DFC">
        <w:rPr>
          <w:rFonts w:eastAsia="Times New Roman" w:cs="Times New Roman"/>
          <w:kern w:val="0"/>
          <w:sz w:val="28"/>
          <w:szCs w:val="28"/>
          <w:lang w:eastAsia="de-DE"/>
          <w14:ligatures w14:val="none"/>
        </w:rPr>
        <w:t xml:space="preserve"> Die Quellen enthalten hierzu keine Angaben in Euro.</w:t>
      </w:r>
    </w:p>
    <w:p w14:paraId="7C80ACD4" w14:textId="77777777" w:rsidR="00F63DFC" w:rsidRPr="00F63DFC" w:rsidRDefault="00F63DFC" w:rsidP="00F63DFC">
      <w:pPr>
        <w:spacing w:after="0" w:line="240" w:lineRule="auto"/>
        <w:rPr>
          <w:rFonts w:eastAsia="Times New Roman" w:cs="Times New Roman"/>
          <w:kern w:val="0"/>
          <w:sz w:val="28"/>
          <w:szCs w:val="28"/>
          <w:lang w:eastAsia="de-DE"/>
          <w14:ligatures w14:val="none"/>
        </w:rPr>
      </w:pPr>
      <w:r w:rsidRPr="00F63DFC">
        <w:rPr>
          <w:rFonts w:eastAsia="Times New Roman" w:cs="Times New Roman"/>
          <w:kern w:val="0"/>
          <w:sz w:val="28"/>
          <w:szCs w:val="28"/>
          <w:lang w:eastAsia="de-DE"/>
          <w14:ligatures w14:val="none"/>
        </w:rPr>
        <w:pict w14:anchorId="498F6F42">
          <v:rect id="_x0000_i1025" style="width:0;height:1.5pt" o:hralign="center" o:hrstd="t" o:hr="t" fillcolor="#a0a0a0" stroked="f"/>
        </w:pict>
      </w:r>
    </w:p>
    <w:p w14:paraId="6F732BC9" w14:textId="77777777" w:rsidR="00F63DFC" w:rsidRPr="00F63DFC" w:rsidRDefault="00F63DFC" w:rsidP="00F63DFC">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F63DFC">
        <w:rPr>
          <w:rFonts w:eastAsia="Times New Roman" w:cs="Times New Roman"/>
          <w:b/>
          <w:bCs/>
          <w:kern w:val="0"/>
          <w:sz w:val="28"/>
          <w:szCs w:val="28"/>
          <w:lang w:eastAsia="de-DE"/>
          <w14:ligatures w14:val="none"/>
        </w:rPr>
        <w:t>BLOCK B: Dokumentationspflichten</w:t>
      </w:r>
    </w:p>
    <w:p w14:paraId="3063B814"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lastRenderedPageBreak/>
        <w:t>7. Pflichtfelder im Trocknungsprotokoll:</w:t>
      </w:r>
      <w:r w:rsidRPr="00F63DFC">
        <w:rPr>
          <w:rFonts w:eastAsia="Times New Roman" w:cs="Times New Roman"/>
          <w:kern w:val="0"/>
          <w:sz w:val="28"/>
          <w:szCs w:val="28"/>
          <w:lang w:eastAsia="de-DE"/>
          <w14:ligatures w14:val="none"/>
        </w:rPr>
        <w:t xml:space="preserve"> Die </w:t>
      </w:r>
      <w:proofErr w:type="spellStart"/>
      <w:r w:rsidRPr="00F63DFC">
        <w:rPr>
          <w:rFonts w:eastAsia="Times New Roman" w:cs="Times New Roman"/>
          <w:kern w:val="0"/>
          <w:sz w:val="28"/>
          <w:szCs w:val="28"/>
          <w:lang w:eastAsia="de-DE"/>
          <w14:ligatures w14:val="none"/>
        </w:rPr>
        <w:t>VdS</w:t>
      </w:r>
      <w:proofErr w:type="spellEnd"/>
      <w:r w:rsidRPr="00F63DFC">
        <w:rPr>
          <w:rFonts w:eastAsia="Times New Roman" w:cs="Times New Roman"/>
          <w:kern w:val="0"/>
          <w:sz w:val="28"/>
          <w:szCs w:val="28"/>
          <w:lang w:eastAsia="de-DE"/>
          <w14:ligatures w14:val="none"/>
        </w:rPr>
        <w:t>-Richtlinien fordern zwingend ein Messprotokoll, das den Verlauf bis zur Ausgleichsfeuchte dokumentiert. Pflichtfelder umfassen: Einsatzstelle, Auftraggeber, Art des Trocknungsobjekts (z. B. schwimmender Estrich, Dämmung, Decke, Wand), Zustand bei Beginn (leicht feucht, stark feucht, freies Wasser), eingesetzte Messgeräte, sowie Datum, Name und die konkreten Feuchtewerte der Bauteile. Ebenfalls zwingend sind Raumzustand (Temperatur, % relative Feuchte, absolute Feuchte in g/kg), das Datum des Auf- und Abbaus, der Stromverbrauch und die Angabe, ob das Trocknungsziel erreicht wurde.</w:t>
      </w:r>
    </w:p>
    <w:p w14:paraId="7C99AD0E"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8. Dokumentation der Feuchtemessung:</w:t>
      </w:r>
      <w:r w:rsidRPr="00F63DFC">
        <w:rPr>
          <w:rFonts w:eastAsia="Times New Roman" w:cs="Times New Roman"/>
          <w:kern w:val="0"/>
          <w:sz w:val="28"/>
          <w:szCs w:val="28"/>
          <w:lang w:eastAsia="de-DE"/>
          <w14:ligatures w14:val="none"/>
        </w:rPr>
        <w:t xml:space="preserve"> Die Mindestanforderungen für die Schadendokumentation fordern zwingend einen Grundrissplan oder eine Skizze. Die Messpunkte müssen mit ihrer genauen Position und Höhenlage in diese Skizze eingetragen werden. Zudem müssen die Art des Messgerätes, die physikalische Messeinheit und das angewendete Feuchtemessverfahren dem jeweiligen Messpunkt genau zugeordnet werden.</w:t>
      </w:r>
    </w:p>
    <w:p w14:paraId="2E90F177"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9. Feuchtegrenzwerte (in %):</w:t>
      </w:r>
      <w:r w:rsidRPr="00F63DFC">
        <w:rPr>
          <w:rFonts w:eastAsia="Times New Roman" w:cs="Times New Roman"/>
          <w:kern w:val="0"/>
          <w:sz w:val="28"/>
          <w:szCs w:val="28"/>
          <w:lang w:eastAsia="de-DE"/>
          <w14:ligatures w14:val="none"/>
        </w:rPr>
        <w:t xml:space="preserve"> Die Quellen nennen keine pauschalen Prozentwerte (wie z. B. 2 % für Estrich), die als "trocken" gelten. Das festgelegte Trocknungsziel ist stets die "baustoffspezifische Ausgleichsfeuchte", also der vom Schaden unbeeinflusste Feuchtigkeitsgehalt, den das Material im Kontakt mit der Raumluft von Natur aus hat.</w:t>
      </w:r>
    </w:p>
    <w:p w14:paraId="098C33FB"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10. Verantwortlichkeit für die Trocknungskontrolle:</w:t>
      </w:r>
      <w:r w:rsidRPr="00F63DFC">
        <w:rPr>
          <w:rFonts w:eastAsia="Times New Roman" w:cs="Times New Roman"/>
          <w:kern w:val="0"/>
          <w:sz w:val="28"/>
          <w:szCs w:val="28"/>
          <w:lang w:eastAsia="de-DE"/>
          <w14:ligatures w14:val="none"/>
        </w:rPr>
        <w:t xml:space="preserve"> Die technische Trocknung und die Dokumentation des Trocknungserfolgs werden durch qualifizierte Fachfirmen bzw. Sanierungsbetriebe durchgeführt. Diese weisen die erfolgreiche Trocknung durch das Trocknungsprotokoll nach. Bei komplexen Schäden oder Unklarheiten können Sachverständige unterstützend hinzugezogen werden.</w:t>
      </w:r>
    </w:p>
    <w:p w14:paraId="62B2DE2D" w14:textId="77777777" w:rsidR="00F63DFC" w:rsidRPr="00F63DFC" w:rsidRDefault="00F63DFC" w:rsidP="00F63DFC">
      <w:pPr>
        <w:spacing w:after="0" w:line="240" w:lineRule="auto"/>
        <w:rPr>
          <w:rFonts w:eastAsia="Times New Roman" w:cs="Times New Roman"/>
          <w:kern w:val="0"/>
          <w:sz w:val="28"/>
          <w:szCs w:val="28"/>
          <w:lang w:eastAsia="de-DE"/>
          <w14:ligatures w14:val="none"/>
        </w:rPr>
      </w:pPr>
      <w:r w:rsidRPr="00F63DFC">
        <w:rPr>
          <w:rFonts w:eastAsia="Times New Roman" w:cs="Times New Roman"/>
          <w:kern w:val="0"/>
          <w:sz w:val="28"/>
          <w:szCs w:val="28"/>
          <w:lang w:eastAsia="de-DE"/>
          <w14:ligatures w14:val="none"/>
        </w:rPr>
        <w:pict w14:anchorId="1EAC1DEE">
          <v:rect id="_x0000_i1026" style="width:0;height:1.5pt" o:hralign="center" o:hrstd="t" o:hr="t" fillcolor="#a0a0a0" stroked="f"/>
        </w:pict>
      </w:r>
    </w:p>
    <w:p w14:paraId="030254D2" w14:textId="77777777" w:rsidR="00F63DFC" w:rsidRPr="00F63DFC" w:rsidRDefault="00F63DFC" w:rsidP="00F63DFC">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F63DFC">
        <w:rPr>
          <w:rFonts w:eastAsia="Times New Roman" w:cs="Times New Roman"/>
          <w:b/>
          <w:bCs/>
          <w:kern w:val="0"/>
          <w:sz w:val="28"/>
          <w:szCs w:val="28"/>
          <w:lang w:eastAsia="de-DE"/>
          <w14:ligatures w14:val="none"/>
        </w:rPr>
        <w:t>BLOCK C: Branchenbenchmarks für Signale</w:t>
      </w:r>
    </w:p>
    <w:p w14:paraId="0B7CA20E"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11. EUR/m2-Wert für Komplett-Sanierung:</w:t>
      </w:r>
      <w:r w:rsidRPr="00F63DFC">
        <w:rPr>
          <w:rFonts w:eastAsia="Times New Roman" w:cs="Times New Roman"/>
          <w:kern w:val="0"/>
          <w:sz w:val="28"/>
          <w:szCs w:val="28"/>
          <w:lang w:eastAsia="de-DE"/>
          <w14:ligatures w14:val="none"/>
        </w:rPr>
        <w:t xml:space="preserve"> Die Quellen enthalten hierzu keine Angaben.</w:t>
      </w:r>
    </w:p>
    <w:p w14:paraId="4761BB8B"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12. Verhältnis Trocknungskosten zu Gesamtkosten:</w:t>
      </w:r>
      <w:r w:rsidRPr="00F63DFC">
        <w:rPr>
          <w:rFonts w:eastAsia="Times New Roman" w:cs="Times New Roman"/>
          <w:kern w:val="0"/>
          <w:sz w:val="28"/>
          <w:szCs w:val="28"/>
          <w:lang w:eastAsia="de-DE"/>
          <w14:ligatures w14:val="none"/>
        </w:rPr>
        <w:t xml:space="preserve"> Die Quellen enthalten hierzu keine Angaben.</w:t>
      </w:r>
    </w:p>
    <w:p w14:paraId="0B64A6C5"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lastRenderedPageBreak/>
        <w:t>13. Geräte pro m2 (Dämmschichttrocknung vs. Raumtrocknung):</w:t>
      </w:r>
      <w:r w:rsidRPr="00F63DFC">
        <w:rPr>
          <w:rFonts w:eastAsia="Times New Roman" w:cs="Times New Roman"/>
          <w:kern w:val="0"/>
          <w:sz w:val="28"/>
          <w:szCs w:val="28"/>
          <w:lang w:eastAsia="de-DE"/>
          <w14:ligatures w14:val="none"/>
        </w:rPr>
        <w:t xml:space="preserve"> Richtwerte aus den Daten des Herstellers </w:t>
      </w:r>
      <w:proofErr w:type="spellStart"/>
      <w:r w:rsidRPr="00F63DFC">
        <w:rPr>
          <w:rFonts w:eastAsia="Times New Roman" w:cs="Times New Roman"/>
          <w:kern w:val="0"/>
          <w:sz w:val="28"/>
          <w:szCs w:val="28"/>
          <w:lang w:eastAsia="de-DE"/>
          <w14:ligatures w14:val="none"/>
        </w:rPr>
        <w:t>Trotec</w:t>
      </w:r>
      <w:proofErr w:type="spellEnd"/>
      <w:r w:rsidRPr="00F63DFC">
        <w:rPr>
          <w:rFonts w:eastAsia="Times New Roman" w:cs="Times New Roman"/>
          <w:kern w:val="0"/>
          <w:sz w:val="28"/>
          <w:szCs w:val="28"/>
          <w:lang w:eastAsia="de-DE"/>
          <w14:ligatures w14:val="none"/>
        </w:rPr>
        <w:t xml:space="preserve"> (am Beispiel des Systems VX 5) geben vor:</w:t>
      </w:r>
    </w:p>
    <w:p w14:paraId="2F5E919C" w14:textId="77777777" w:rsidR="00F63DFC" w:rsidRPr="00F63DFC" w:rsidRDefault="00F63DFC" w:rsidP="00F63DFC">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kern w:val="0"/>
          <w:sz w:val="28"/>
          <w:szCs w:val="28"/>
          <w:lang w:eastAsia="de-DE"/>
          <w14:ligatures w14:val="none"/>
        </w:rPr>
        <w:t>Für Überdrucktrocknung bis 60 m² genügt ein Gerät auf Leistungsstufe 2, für Flächen bis 90 m² wird das Gerät auf Leistungsstufe 3 betrieben.</w:t>
      </w:r>
    </w:p>
    <w:p w14:paraId="5A04D06F" w14:textId="77777777" w:rsidR="00F63DFC" w:rsidRPr="00F63DFC" w:rsidRDefault="00F63DFC" w:rsidP="00F63DFC">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kern w:val="0"/>
          <w:sz w:val="28"/>
          <w:szCs w:val="28"/>
          <w:lang w:eastAsia="de-DE"/>
          <w14:ligatures w14:val="none"/>
        </w:rPr>
        <w:t>Für Unterdrucktrocknung (Dämmschichttrocknung) wird zusätzlich ein Wasserabscheider benötigt. Hier reicht das Setup auf Stufe 2 für bis zu 50 m², auf Stufe 3 für bis zu 70 m².</w:t>
      </w:r>
    </w:p>
    <w:p w14:paraId="05BD0619"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14. Normaler Stromverbrauch (kWh) pro Gerätetyp:</w:t>
      </w:r>
      <w:r w:rsidRPr="00F63DFC">
        <w:rPr>
          <w:rFonts w:eastAsia="Times New Roman" w:cs="Times New Roman"/>
          <w:kern w:val="0"/>
          <w:sz w:val="28"/>
          <w:szCs w:val="28"/>
          <w:lang w:eastAsia="de-DE"/>
          <w14:ligatures w14:val="none"/>
        </w:rPr>
        <w:t xml:space="preserve"> Die Verbräuche können anhand der Nennleistungen moderner Geräte berechnet werden (Wert in kW mal Betriebszeit):</w:t>
      </w:r>
    </w:p>
    <w:p w14:paraId="3F9FA368" w14:textId="77777777" w:rsidR="00F63DFC" w:rsidRPr="00F63DFC" w:rsidRDefault="00F63DFC" w:rsidP="00F63DFC">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i/>
          <w:iCs/>
          <w:kern w:val="0"/>
          <w:sz w:val="28"/>
          <w:szCs w:val="28"/>
          <w:lang w:eastAsia="de-DE"/>
          <w14:ligatures w14:val="none"/>
        </w:rPr>
        <w:t>Dämmschichttrockner (Turbomotor, z. B. VX 5 / Qube+):</w:t>
      </w:r>
      <w:r w:rsidRPr="00F63DFC">
        <w:rPr>
          <w:rFonts w:eastAsia="Times New Roman" w:cs="Times New Roman"/>
          <w:kern w:val="0"/>
          <w:sz w:val="28"/>
          <w:szCs w:val="28"/>
          <w:lang w:eastAsia="de-DE"/>
          <w14:ligatures w14:val="none"/>
        </w:rPr>
        <w:t xml:space="preserve"> 0,12 kW bis 1,2 kW, je nach eingestellter Stufe.</w:t>
      </w:r>
    </w:p>
    <w:p w14:paraId="6A4C9AB4" w14:textId="77777777" w:rsidR="00F63DFC" w:rsidRPr="00F63DFC" w:rsidRDefault="00F63DFC" w:rsidP="00F63DFC">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i/>
          <w:iCs/>
          <w:kern w:val="0"/>
          <w:sz w:val="28"/>
          <w:szCs w:val="28"/>
          <w:lang w:eastAsia="de-DE"/>
          <w14:ligatures w14:val="none"/>
        </w:rPr>
        <w:t>Dämmschichttrockner (Klassischer Seitenkanalverdichter, z. B. VE 4):</w:t>
      </w:r>
      <w:r w:rsidRPr="00F63DFC">
        <w:rPr>
          <w:rFonts w:eastAsia="Times New Roman" w:cs="Times New Roman"/>
          <w:kern w:val="0"/>
          <w:sz w:val="28"/>
          <w:szCs w:val="28"/>
          <w:lang w:eastAsia="de-DE"/>
          <w14:ligatures w14:val="none"/>
        </w:rPr>
        <w:t xml:space="preserve"> Konstante Motorleistung von 1,1 kW.</w:t>
      </w:r>
    </w:p>
    <w:p w14:paraId="17D7E800" w14:textId="77777777" w:rsidR="00F63DFC" w:rsidRPr="00F63DFC" w:rsidRDefault="00F63DFC" w:rsidP="00F63DFC">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i/>
          <w:iCs/>
          <w:kern w:val="0"/>
          <w:sz w:val="28"/>
          <w:szCs w:val="28"/>
          <w:lang w:eastAsia="de-DE"/>
          <w14:ligatures w14:val="none"/>
        </w:rPr>
        <w:t>Kompakt-Kondenstrockner (Raumtrockner, z. B. TTK Qube):</w:t>
      </w:r>
      <w:r w:rsidRPr="00F63DFC">
        <w:rPr>
          <w:rFonts w:eastAsia="Times New Roman" w:cs="Times New Roman"/>
          <w:kern w:val="0"/>
          <w:sz w:val="28"/>
          <w:szCs w:val="28"/>
          <w:lang w:eastAsia="de-DE"/>
          <w14:ligatures w14:val="none"/>
        </w:rPr>
        <w:t xml:space="preserve"> Leistungsaufnahme von 0,362 kW.</w:t>
      </w:r>
    </w:p>
    <w:p w14:paraId="50EBFE19" w14:textId="77777777" w:rsidR="00F63DFC" w:rsidRPr="00F63DFC" w:rsidRDefault="00F63DFC" w:rsidP="00F63DFC">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i/>
          <w:iCs/>
          <w:kern w:val="0"/>
          <w:sz w:val="28"/>
          <w:szCs w:val="28"/>
          <w:lang w:eastAsia="de-DE"/>
          <w14:ligatures w14:val="none"/>
        </w:rPr>
        <w:t>Radiallüfter (z. B. TFV Pro 1):</w:t>
      </w:r>
      <w:r w:rsidRPr="00F63DFC">
        <w:rPr>
          <w:rFonts w:eastAsia="Times New Roman" w:cs="Times New Roman"/>
          <w:kern w:val="0"/>
          <w:sz w:val="28"/>
          <w:szCs w:val="28"/>
          <w:lang w:eastAsia="de-DE"/>
          <w14:ligatures w14:val="none"/>
        </w:rPr>
        <w:t xml:space="preserve"> Leistungsaufnahme von 170 W (0,17 kW).</w:t>
      </w:r>
    </w:p>
    <w:p w14:paraId="087FE478" w14:textId="77777777" w:rsidR="00F63DFC" w:rsidRPr="00F63DFC" w:rsidRDefault="00F63DFC" w:rsidP="00F63DFC">
      <w:pPr>
        <w:spacing w:after="0" w:line="240" w:lineRule="auto"/>
        <w:rPr>
          <w:rFonts w:eastAsia="Times New Roman" w:cs="Times New Roman"/>
          <w:kern w:val="0"/>
          <w:sz w:val="28"/>
          <w:szCs w:val="28"/>
          <w:lang w:eastAsia="de-DE"/>
          <w14:ligatures w14:val="none"/>
        </w:rPr>
      </w:pPr>
      <w:r w:rsidRPr="00F63DFC">
        <w:rPr>
          <w:rFonts w:eastAsia="Times New Roman" w:cs="Times New Roman"/>
          <w:kern w:val="0"/>
          <w:sz w:val="28"/>
          <w:szCs w:val="28"/>
          <w:lang w:eastAsia="de-DE"/>
          <w14:ligatures w14:val="none"/>
        </w:rPr>
        <w:pict w14:anchorId="4C04FCF7">
          <v:rect id="_x0000_i1027" style="width:0;height:1.5pt" o:hralign="center" o:hrstd="t" o:hr="t" fillcolor="#a0a0a0" stroked="f"/>
        </w:pict>
      </w:r>
    </w:p>
    <w:p w14:paraId="2D6C8BD6" w14:textId="77777777" w:rsidR="00F63DFC" w:rsidRPr="00F63DFC" w:rsidRDefault="00F63DFC" w:rsidP="00F63DFC">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F63DFC">
        <w:rPr>
          <w:rFonts w:eastAsia="Times New Roman" w:cs="Times New Roman"/>
          <w:b/>
          <w:bCs/>
          <w:kern w:val="0"/>
          <w:sz w:val="28"/>
          <w:szCs w:val="28"/>
          <w:lang w:eastAsia="de-DE"/>
          <w14:ligatures w14:val="none"/>
        </w:rPr>
        <w:t>BLOCK D: Software und Qualitätsmerkmale</w:t>
      </w:r>
    </w:p>
    <w:p w14:paraId="383D6C15"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15. Branchensoftware:</w:t>
      </w:r>
      <w:r w:rsidRPr="00F63DFC">
        <w:rPr>
          <w:rFonts w:eastAsia="Times New Roman" w:cs="Times New Roman"/>
          <w:kern w:val="0"/>
          <w:sz w:val="28"/>
          <w:szCs w:val="28"/>
          <w:lang w:eastAsia="de-DE"/>
          <w14:ligatures w14:val="none"/>
        </w:rPr>
        <w:t xml:space="preserve"> Softwarelösungen wie </w:t>
      </w:r>
      <w:proofErr w:type="spellStart"/>
      <w:r w:rsidRPr="00F63DFC">
        <w:rPr>
          <w:rFonts w:eastAsia="Times New Roman" w:cs="Times New Roman"/>
          <w:kern w:val="0"/>
          <w:sz w:val="28"/>
          <w:szCs w:val="28"/>
          <w:lang w:eastAsia="de-DE"/>
          <w14:ligatures w14:val="none"/>
        </w:rPr>
        <w:t>Xactimate</w:t>
      </w:r>
      <w:proofErr w:type="spellEnd"/>
      <w:r w:rsidRPr="00F63DFC">
        <w:rPr>
          <w:rFonts w:eastAsia="Times New Roman" w:cs="Times New Roman"/>
          <w:kern w:val="0"/>
          <w:sz w:val="28"/>
          <w:szCs w:val="28"/>
          <w:lang w:eastAsia="de-DE"/>
          <w14:ligatures w14:val="none"/>
        </w:rPr>
        <w:t xml:space="preserve">, </w:t>
      </w:r>
      <w:proofErr w:type="spellStart"/>
      <w:r w:rsidRPr="00F63DFC">
        <w:rPr>
          <w:rFonts w:eastAsia="Times New Roman" w:cs="Times New Roman"/>
          <w:kern w:val="0"/>
          <w:sz w:val="28"/>
          <w:szCs w:val="28"/>
          <w:lang w:eastAsia="de-DE"/>
          <w14:ligatures w14:val="none"/>
        </w:rPr>
        <w:t>Encircle</w:t>
      </w:r>
      <w:proofErr w:type="spellEnd"/>
      <w:r w:rsidRPr="00F63DFC">
        <w:rPr>
          <w:rFonts w:eastAsia="Times New Roman" w:cs="Times New Roman"/>
          <w:kern w:val="0"/>
          <w:sz w:val="28"/>
          <w:szCs w:val="28"/>
          <w:lang w:eastAsia="de-DE"/>
          <w14:ligatures w14:val="none"/>
        </w:rPr>
        <w:t xml:space="preserve"> oder </w:t>
      </w:r>
      <w:proofErr w:type="spellStart"/>
      <w:r w:rsidRPr="00F63DFC">
        <w:rPr>
          <w:rFonts w:eastAsia="Times New Roman" w:cs="Times New Roman"/>
          <w:kern w:val="0"/>
          <w:sz w:val="28"/>
          <w:szCs w:val="28"/>
          <w:lang w:eastAsia="de-DE"/>
          <w14:ligatures w14:val="none"/>
        </w:rPr>
        <w:t>EagleView</w:t>
      </w:r>
      <w:proofErr w:type="spellEnd"/>
      <w:r w:rsidRPr="00F63DFC">
        <w:rPr>
          <w:rFonts w:eastAsia="Times New Roman" w:cs="Times New Roman"/>
          <w:kern w:val="0"/>
          <w:sz w:val="28"/>
          <w:szCs w:val="28"/>
          <w:lang w:eastAsia="de-DE"/>
          <w14:ligatures w14:val="none"/>
        </w:rPr>
        <w:t xml:space="preserve"> werden in den Quellen nicht erwähnt. </w:t>
      </w:r>
      <w:proofErr w:type="spellStart"/>
      <w:r w:rsidRPr="00F63DFC">
        <w:rPr>
          <w:rFonts w:eastAsia="Times New Roman" w:cs="Times New Roman"/>
          <w:kern w:val="0"/>
          <w:sz w:val="28"/>
          <w:szCs w:val="28"/>
          <w:lang w:eastAsia="de-DE"/>
          <w14:ligatures w14:val="none"/>
        </w:rPr>
        <w:t>Trotec</w:t>
      </w:r>
      <w:proofErr w:type="spellEnd"/>
      <w:r w:rsidRPr="00F63DFC">
        <w:rPr>
          <w:rFonts w:eastAsia="Times New Roman" w:cs="Times New Roman"/>
          <w:kern w:val="0"/>
          <w:sz w:val="28"/>
          <w:szCs w:val="28"/>
          <w:lang w:eastAsia="de-DE"/>
          <w14:ligatures w14:val="none"/>
        </w:rPr>
        <w:t xml:space="preserve"> nennt als Systeme zur Datenverarbeitung die Portalsoftware "</w:t>
      </w:r>
      <w:proofErr w:type="spellStart"/>
      <w:r w:rsidRPr="00F63DFC">
        <w:rPr>
          <w:rFonts w:eastAsia="Times New Roman" w:cs="Times New Roman"/>
          <w:kern w:val="0"/>
          <w:sz w:val="28"/>
          <w:szCs w:val="28"/>
          <w:lang w:eastAsia="de-DE"/>
          <w14:ligatures w14:val="none"/>
        </w:rPr>
        <w:t>MQDatamonitor</w:t>
      </w:r>
      <w:proofErr w:type="spellEnd"/>
      <w:r w:rsidRPr="00F63DFC">
        <w:rPr>
          <w:rFonts w:eastAsia="Times New Roman" w:cs="Times New Roman"/>
          <w:kern w:val="0"/>
          <w:sz w:val="28"/>
          <w:szCs w:val="28"/>
          <w:lang w:eastAsia="de-DE"/>
          <w14:ligatures w14:val="none"/>
        </w:rPr>
        <w:t>" für die Fernüberwachung von Trocknungsinstallationen in Echtzeit und die Software "</w:t>
      </w:r>
      <w:proofErr w:type="spellStart"/>
      <w:r w:rsidRPr="00F63DFC">
        <w:rPr>
          <w:rFonts w:eastAsia="Times New Roman" w:cs="Times New Roman"/>
          <w:kern w:val="0"/>
          <w:sz w:val="28"/>
          <w:szCs w:val="28"/>
          <w:lang w:eastAsia="de-DE"/>
          <w14:ligatures w14:val="none"/>
        </w:rPr>
        <w:t>MultiMeasure</w:t>
      </w:r>
      <w:proofErr w:type="spellEnd"/>
      <w:r w:rsidRPr="00F63DFC">
        <w:rPr>
          <w:rFonts w:eastAsia="Times New Roman" w:cs="Times New Roman"/>
          <w:kern w:val="0"/>
          <w:sz w:val="28"/>
          <w:szCs w:val="28"/>
          <w:lang w:eastAsia="de-DE"/>
          <w14:ligatures w14:val="none"/>
        </w:rPr>
        <w:t xml:space="preserve"> Studio Professional" für die Verwaltung von Messdaten und die Erstellung von Reports.</w:t>
      </w:r>
    </w:p>
    <w:p w14:paraId="27682537"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16. Zertifizierungen:</w:t>
      </w:r>
      <w:r w:rsidRPr="00F63DFC">
        <w:rPr>
          <w:rFonts w:eastAsia="Times New Roman" w:cs="Times New Roman"/>
          <w:kern w:val="0"/>
          <w:sz w:val="28"/>
          <w:szCs w:val="28"/>
          <w:lang w:eastAsia="de-DE"/>
          <w14:ligatures w14:val="none"/>
        </w:rPr>
        <w:t xml:space="preserve"> Spezifische Unternehmenszertifikate (wie TÜV oder DHBV) werden nicht explizit genannt. Es wird pauschal gefordert, dass "speziell qualifizierte Fachfirmen" eingesetzt werden. Sachverständige können nach DIN EN 16775 tätig sein. Im Schulungsbereich gibt es Abschlüsse wie "Fachberater Wasserschadensanierung" oder "Arbeitskraft für Schimmelpilzbeseitigungsmaßnahmen".</w:t>
      </w:r>
    </w:p>
    <w:p w14:paraId="616882AC"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lastRenderedPageBreak/>
        <w:t>17. Qualitätsmerkmale eines seriösen Sanierers:</w:t>
      </w:r>
      <w:r w:rsidRPr="00F63DFC">
        <w:rPr>
          <w:rFonts w:eastAsia="Times New Roman" w:cs="Times New Roman"/>
          <w:kern w:val="0"/>
          <w:sz w:val="28"/>
          <w:szCs w:val="28"/>
          <w:lang w:eastAsia="de-DE"/>
          <w14:ligatures w14:val="none"/>
        </w:rPr>
        <w:t xml:space="preserve"> Ein professionell und nach Norm arbeitender Sanierer lässt sich anhand folgender Kriterien erkennen:</w:t>
      </w:r>
    </w:p>
    <w:p w14:paraId="0169FC92" w14:textId="77777777" w:rsidR="00F63DFC" w:rsidRPr="00F63DFC" w:rsidRDefault="00F63DFC" w:rsidP="00F63DFC">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Wirtschaftlichkeit &amp; Nachhaltigkeit:</w:t>
      </w:r>
      <w:r w:rsidRPr="00F63DFC">
        <w:rPr>
          <w:rFonts w:eastAsia="Times New Roman" w:cs="Times New Roman"/>
          <w:kern w:val="0"/>
          <w:sz w:val="28"/>
          <w:szCs w:val="28"/>
          <w:lang w:eastAsia="de-DE"/>
          <w14:ligatures w14:val="none"/>
        </w:rPr>
        <w:t xml:space="preserve"> Die Sanierung erfolgt ressourcenschonend, und die technische Trocknung wird mit energieeffizienten Verfahren (z. B. sensorgestützte Intervalltrocknungen) durchgeführt.</w:t>
      </w:r>
    </w:p>
    <w:p w14:paraId="5A0B18B9" w14:textId="77777777" w:rsidR="00F63DFC" w:rsidRPr="00F63DFC" w:rsidRDefault="00F63DFC" w:rsidP="00F63DFC">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Rückbau:</w:t>
      </w:r>
      <w:r w:rsidRPr="00F63DFC">
        <w:rPr>
          <w:rFonts w:eastAsia="Times New Roman" w:cs="Times New Roman"/>
          <w:kern w:val="0"/>
          <w:sz w:val="28"/>
          <w:szCs w:val="28"/>
          <w:lang w:eastAsia="de-DE"/>
          <w14:ligatures w14:val="none"/>
        </w:rPr>
        <w:t xml:space="preserve"> Es wird nach der Regel "So zerstörungsarm wie möglich" gearbeitet, beispielsweise durch zerstörungsfreie Fliesenentfernung statt Totalabriss.</w:t>
      </w:r>
    </w:p>
    <w:p w14:paraId="76C04713" w14:textId="77777777" w:rsidR="00F63DFC" w:rsidRPr="00F63DFC" w:rsidRDefault="00F63DFC" w:rsidP="00F63DFC">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Hygiene &amp; Filtertechnik:</w:t>
      </w:r>
      <w:r w:rsidRPr="00F63DFC">
        <w:rPr>
          <w:rFonts w:eastAsia="Times New Roman" w:cs="Times New Roman"/>
          <w:kern w:val="0"/>
          <w:sz w:val="28"/>
          <w:szCs w:val="28"/>
          <w:lang w:eastAsia="de-DE"/>
          <w14:ligatures w14:val="none"/>
        </w:rPr>
        <w:t xml:space="preserve"> Bei mikrobiellem Befall (Schimmel) oder Gefahrstoffen (Mineralfaserstaub gemäß TRGS 521) wird zwingend im Unterdruckverfahren getrocknet und HEPA-Filter der Klasse H13 eingesetzt.</w:t>
      </w:r>
    </w:p>
    <w:p w14:paraId="49738F59" w14:textId="77777777" w:rsidR="00F63DFC" w:rsidRPr="00F63DFC" w:rsidRDefault="00F63DFC" w:rsidP="00F63DFC">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Transparente Abrechnung:</w:t>
      </w:r>
      <w:r w:rsidRPr="00F63DFC">
        <w:rPr>
          <w:rFonts w:eastAsia="Times New Roman" w:cs="Times New Roman"/>
          <w:kern w:val="0"/>
          <w:sz w:val="28"/>
          <w:szCs w:val="28"/>
          <w:lang w:eastAsia="de-DE"/>
          <w14:ligatures w14:val="none"/>
        </w:rPr>
        <w:t xml:space="preserve"> Es werden Stromverbrauchszähler (idealerweise MID-konform) zur genauen Ermittlung der Kilowattstunden verwendet.</w:t>
      </w:r>
    </w:p>
    <w:p w14:paraId="714F3573" w14:textId="77777777" w:rsidR="00F63DFC" w:rsidRPr="00F63DFC" w:rsidRDefault="00F63DFC" w:rsidP="00F63DFC">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Dokumentation:</w:t>
      </w:r>
      <w:r w:rsidRPr="00F63DFC">
        <w:rPr>
          <w:rFonts w:eastAsia="Times New Roman" w:cs="Times New Roman"/>
          <w:kern w:val="0"/>
          <w:sz w:val="28"/>
          <w:szCs w:val="28"/>
          <w:lang w:eastAsia="de-DE"/>
          <w14:ligatures w14:val="none"/>
        </w:rPr>
        <w:t xml:space="preserve"> Feuchtemessungen werden zwingend anhand eines Grundrissplans mit verzeichneter Messpunkt-Höhenlage durchgeführt und dokumentiert.</w:t>
      </w:r>
    </w:p>
    <w:p w14:paraId="06C2811B" w14:textId="77777777" w:rsidR="00F63DFC" w:rsidRPr="00F63DFC" w:rsidRDefault="00F63DFC" w:rsidP="00F63DFC">
      <w:pPr>
        <w:spacing w:before="100" w:beforeAutospacing="1" w:after="100" w:afterAutospacing="1" w:line="240" w:lineRule="auto"/>
        <w:rPr>
          <w:rFonts w:eastAsia="Times New Roman" w:cs="Times New Roman"/>
          <w:kern w:val="0"/>
          <w:sz w:val="28"/>
          <w:szCs w:val="28"/>
          <w:lang w:eastAsia="de-DE"/>
          <w14:ligatures w14:val="none"/>
        </w:rPr>
      </w:pPr>
      <w:r w:rsidRPr="00F63DFC">
        <w:rPr>
          <w:rFonts w:eastAsia="Times New Roman" w:cs="Times New Roman"/>
          <w:b/>
          <w:bCs/>
          <w:kern w:val="0"/>
          <w:sz w:val="28"/>
          <w:szCs w:val="28"/>
          <w:lang w:eastAsia="de-DE"/>
          <w14:ligatures w14:val="none"/>
        </w:rPr>
        <w:t>18. Preissteigerungen in den letzten Jahren:</w:t>
      </w:r>
      <w:r w:rsidRPr="00F63DFC">
        <w:rPr>
          <w:rFonts w:eastAsia="Times New Roman" w:cs="Times New Roman"/>
          <w:kern w:val="0"/>
          <w:sz w:val="28"/>
          <w:szCs w:val="28"/>
          <w:lang w:eastAsia="de-DE"/>
          <w14:ligatures w14:val="none"/>
        </w:rPr>
        <w:t xml:space="preserve"> Die Quellen enthalten hierzu keine Angaben.</w:t>
      </w:r>
    </w:p>
    <w:p w14:paraId="62BC9512" w14:textId="77777777" w:rsidR="00F63DFC" w:rsidRDefault="00F63DFC"/>
    <w:sectPr w:rsidR="00F63DF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71DD"/>
    <w:multiLevelType w:val="multilevel"/>
    <w:tmpl w:val="D9A4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95CCB"/>
    <w:multiLevelType w:val="multilevel"/>
    <w:tmpl w:val="4B5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31264C"/>
    <w:multiLevelType w:val="multilevel"/>
    <w:tmpl w:val="EB6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465144">
    <w:abstractNumId w:val="1"/>
  </w:num>
  <w:num w:numId="2" w16cid:durableId="329916777">
    <w:abstractNumId w:val="0"/>
  </w:num>
  <w:num w:numId="3" w16cid:durableId="272054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DFC"/>
    <w:rsid w:val="00263DD5"/>
    <w:rsid w:val="00F63DF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6EA4"/>
  <w15:chartTrackingRefBased/>
  <w15:docId w15:val="{6C4CAF3E-8334-4B6D-BB46-DC3624B1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63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63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63DF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63DF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63DF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63DF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63DF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63DF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63DF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63DF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63DF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63DF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63DF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63DF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63DF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63DF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63DF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63DFC"/>
    <w:rPr>
      <w:rFonts w:eastAsiaTheme="majorEastAsia" w:cstheme="majorBidi"/>
      <w:color w:val="272727" w:themeColor="text1" w:themeTint="D8"/>
    </w:rPr>
  </w:style>
  <w:style w:type="paragraph" w:styleId="Titel">
    <w:name w:val="Title"/>
    <w:basedOn w:val="Standard"/>
    <w:next w:val="Standard"/>
    <w:link w:val="TitelZchn"/>
    <w:uiPriority w:val="10"/>
    <w:qFormat/>
    <w:rsid w:val="00F63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63DF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63DF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63DF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63DF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63DFC"/>
    <w:rPr>
      <w:i/>
      <w:iCs/>
      <w:color w:val="404040" w:themeColor="text1" w:themeTint="BF"/>
    </w:rPr>
  </w:style>
  <w:style w:type="paragraph" w:styleId="Listenabsatz">
    <w:name w:val="List Paragraph"/>
    <w:basedOn w:val="Standard"/>
    <w:uiPriority w:val="34"/>
    <w:qFormat/>
    <w:rsid w:val="00F63DFC"/>
    <w:pPr>
      <w:ind w:left="720"/>
      <w:contextualSpacing/>
    </w:pPr>
  </w:style>
  <w:style w:type="character" w:styleId="IntensiveHervorhebung">
    <w:name w:val="Intense Emphasis"/>
    <w:basedOn w:val="Absatz-Standardschriftart"/>
    <w:uiPriority w:val="21"/>
    <w:qFormat/>
    <w:rsid w:val="00F63DFC"/>
    <w:rPr>
      <w:i/>
      <w:iCs/>
      <w:color w:val="0F4761" w:themeColor="accent1" w:themeShade="BF"/>
    </w:rPr>
  </w:style>
  <w:style w:type="paragraph" w:styleId="IntensivesZitat">
    <w:name w:val="Intense Quote"/>
    <w:basedOn w:val="Standard"/>
    <w:next w:val="Standard"/>
    <w:link w:val="IntensivesZitatZchn"/>
    <w:uiPriority w:val="30"/>
    <w:qFormat/>
    <w:rsid w:val="00F63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63DFC"/>
    <w:rPr>
      <w:i/>
      <w:iCs/>
      <w:color w:val="0F4761" w:themeColor="accent1" w:themeShade="BF"/>
    </w:rPr>
  </w:style>
  <w:style w:type="character" w:styleId="IntensiverVerweis">
    <w:name w:val="Intense Reference"/>
    <w:basedOn w:val="Absatz-Standardschriftart"/>
    <w:uiPriority w:val="32"/>
    <w:qFormat/>
    <w:rsid w:val="00F63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924</Words>
  <Characters>5826</Characters>
  <Application>Microsoft Office Word</Application>
  <DocSecurity>0</DocSecurity>
  <Lines>48</Lines>
  <Paragraphs>13</Paragraphs>
  <ScaleCrop>false</ScaleCrop>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Kauert</dc:creator>
  <cp:keywords/>
  <dc:description/>
  <cp:lastModifiedBy>Mirko Kauert</cp:lastModifiedBy>
  <cp:revision>1</cp:revision>
  <dcterms:created xsi:type="dcterms:W3CDTF">2026-04-05T09:21:00Z</dcterms:created>
  <dcterms:modified xsi:type="dcterms:W3CDTF">2026-04-05T09:22:00Z</dcterms:modified>
</cp:coreProperties>
</file>