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B9433" w14:textId="77777777" w:rsidR="000F16D7" w:rsidRDefault="000F16D7" w:rsidP="00C83EBD">
      <w:pPr>
        <w:spacing w:before="100" w:beforeAutospacing="1" w:after="100" w:afterAutospacing="1" w:line="240" w:lineRule="auto"/>
        <w:rPr>
          <w:rFonts w:eastAsia="Times New Roman" w:cs="Times New Roman"/>
          <w:kern w:val="0"/>
          <w:sz w:val="28"/>
          <w:szCs w:val="28"/>
          <w:lang w:eastAsia="de-DE"/>
          <w14:ligatures w14:val="none"/>
        </w:rPr>
      </w:pPr>
      <w:r>
        <w:rPr>
          <w:rFonts w:eastAsia="Times New Roman" w:cs="Times New Roman"/>
          <w:kern w:val="0"/>
          <w:sz w:val="28"/>
          <w:szCs w:val="28"/>
          <w:lang w:eastAsia="de-DE"/>
          <w14:ligatures w14:val="none"/>
        </w:rPr>
        <w:t>***Prompt:</w:t>
      </w:r>
    </w:p>
    <w:p w14:paraId="297BB03C" w14:textId="77777777" w:rsidR="000F16D7" w:rsidRDefault="000F16D7" w:rsidP="00C83EBD">
      <w:pPr>
        <w:spacing w:before="100" w:beforeAutospacing="1" w:after="100" w:afterAutospacing="1" w:line="240" w:lineRule="auto"/>
        <w:rPr>
          <w:rFonts w:eastAsia="Times New Roman" w:cs="Times New Roman"/>
          <w:kern w:val="0"/>
          <w:sz w:val="28"/>
          <w:szCs w:val="28"/>
          <w:lang w:eastAsia="de-DE"/>
          <w14:ligatures w14:val="none"/>
        </w:rPr>
      </w:pPr>
    </w:p>
    <w:p w14:paraId="630504A6" w14:textId="2ABF5B53" w:rsidR="000F16D7" w:rsidRDefault="000F16D7" w:rsidP="00C83EBD">
      <w:pPr>
        <w:spacing w:before="100" w:beforeAutospacing="1" w:after="100" w:afterAutospacing="1" w:line="240" w:lineRule="auto"/>
        <w:rPr>
          <w:rFonts w:eastAsia="Times New Roman" w:cs="Times New Roman"/>
          <w:kern w:val="0"/>
          <w:sz w:val="28"/>
          <w:szCs w:val="28"/>
          <w:lang w:eastAsia="de-DE"/>
          <w14:ligatures w14:val="none"/>
        </w:rPr>
      </w:pPr>
      <w:r w:rsidRPr="000F16D7">
        <w:rPr>
          <w:rFonts w:eastAsia="Times New Roman" w:cs="Times New Roman"/>
          <w:kern w:val="0"/>
          <w:sz w:val="28"/>
          <w:szCs w:val="28"/>
          <w:lang w:eastAsia="de-DE"/>
          <w14:ligatures w14:val="none"/>
        </w:rPr>
        <w:t>Prompt Ich bin Lena Voss. Der letzte Lauf hat mir gute Grundlagen zu Trocknungstechnik und Manipulationsmustern geliefert — aber die ABRECHNUNGSLOGIK fehlt. Ich brauche konkrete Zahlen, Positionen und Benchmarks um Rechnungen forensisch pruefen zu koennen. Fokus auf die fehlenden Antworten. Erfinde nichts. BLOCK A: Was kostet Trocknung? (aus R6 fehlend) Was ist ein Geraetetag genau? 24 Stunden? Kalendertag? Betriebsstunden? Gibt es eine Branchendefinition? Was kostet ein Geraetetag pro Geraetetyp? Richtwerte in EUR fuer: Bautrockner, Ventilator, Seitenkanalverdichter, Adsorptionstrockner, Infrarotplatte. Was kostet eine komplette Trocknung bei: (a) Bad/Kueche (10-15 m2), (b) Wohnung (60 m2), (c) Keller (30 m2)? Richtwerte. Welche Einzelpositionen stehen auf einer typischen Trocknungsrechnung? Liste ALLE gaengigen Positionen mit Einheiten (Stueck, Stunde, Pauschale, m2, lfm). Pauschalabrechnung vs. Einzelpositionen: Wann welches Modell? Gibt es Schwellenwerte? Was bevorzugen Versicherer? Wie hoch sind typische Anfahrtskosten, Leckortungs-Pauschalen, Kontrollmessungs-Pauschalen? BLOCK B: Dokumentationspflichten Was MUSS in einem Trocknungsprotokoll stehen? Pflichtfelder nach WTA/VdS? Was MUSS bei der Feuchtemessung dokumentiert werden? (Messpunkt-Skizze, Methode, Geraet, Datum, Wert, Einheit) Welche Feuchtegrenzwerte (in %) gelten als "trocken" fuer: Estrich, Mauerwerk, Gipskarton, Daemmung? Wer ist verantwortlich fuer die Trocknungskontrolle? Sanierer selbst? SV? Versicherer? BLOCK C: Branchenbenchmarks fuer Signale Was ist ein normaler EUR/m2-Wert fuer eine Komplett-Sanierung nach Leitungswasserschaden? (Trocknung + Rueckbau + Wiederherstellung) Was ist ein normales Verhaeltnis Trocknungskosten zu Gesamtkosten? (z.B. Trocknung = 30% der Gesamtrechnung) Wie viele Geraete pro m2 sind normal bei Daemmschichttrocknung vs. Raumtrocknung? Was ist ein normaler Stromverbrauch (kWh) pro Geraetetag pro Geraetetyp? BLOCK D: Software und Qualitaetsmerkmale Welche Branchensoftware wird in der Schadenregulierung eingesetzt? (Xactimate, Encircle, EagleView, andere) Welche Zertifizierungen gibt es fuer Sanierungsunternehmen? (TÜV, DHBV, Innung, andere) Was unterscheidet einen serioesen Sanierer von einem unseriösen? Checkliste. Gibt es Preissteigerungen in den letzten Jahren die meine Schwellenwerte beeinflussen? (Material, Energie, Lohn)</w:t>
      </w:r>
      <w:r>
        <w:rPr>
          <w:rFonts w:eastAsia="Times New Roman" w:cs="Times New Roman"/>
          <w:kern w:val="0"/>
          <w:sz w:val="28"/>
          <w:szCs w:val="28"/>
          <w:lang w:eastAsia="de-DE"/>
          <w14:ligatures w14:val="none"/>
        </w:rPr>
        <w:t>***</w:t>
      </w:r>
    </w:p>
    <w:p w14:paraId="046323C9" w14:textId="77777777" w:rsidR="000F16D7" w:rsidRDefault="000F16D7" w:rsidP="00C83EBD">
      <w:pPr>
        <w:spacing w:before="100" w:beforeAutospacing="1" w:after="100" w:afterAutospacing="1" w:line="240" w:lineRule="auto"/>
        <w:rPr>
          <w:rFonts w:eastAsia="Times New Roman" w:cs="Times New Roman"/>
          <w:kern w:val="0"/>
          <w:sz w:val="28"/>
          <w:szCs w:val="28"/>
          <w:lang w:eastAsia="de-DE"/>
          <w14:ligatures w14:val="none"/>
        </w:rPr>
      </w:pPr>
    </w:p>
    <w:p w14:paraId="12A4B48A" w14:textId="77777777" w:rsidR="000F16D7" w:rsidRDefault="000F16D7" w:rsidP="00C83EBD">
      <w:pPr>
        <w:spacing w:before="100" w:beforeAutospacing="1" w:after="100" w:afterAutospacing="1" w:line="240" w:lineRule="auto"/>
        <w:rPr>
          <w:rFonts w:eastAsia="Times New Roman" w:cs="Times New Roman"/>
          <w:kern w:val="0"/>
          <w:sz w:val="28"/>
          <w:szCs w:val="28"/>
          <w:lang w:eastAsia="de-DE"/>
          <w14:ligatures w14:val="none"/>
        </w:rPr>
      </w:pPr>
    </w:p>
    <w:p w14:paraId="79444A8E" w14:textId="77777777" w:rsidR="000F16D7" w:rsidRDefault="000F16D7" w:rsidP="00C83EBD">
      <w:pPr>
        <w:spacing w:before="100" w:beforeAutospacing="1" w:after="100" w:afterAutospacing="1" w:line="240" w:lineRule="auto"/>
        <w:rPr>
          <w:rFonts w:eastAsia="Times New Roman" w:cs="Times New Roman"/>
          <w:kern w:val="0"/>
          <w:sz w:val="28"/>
          <w:szCs w:val="28"/>
          <w:lang w:eastAsia="de-DE"/>
          <w14:ligatures w14:val="none"/>
        </w:rPr>
      </w:pPr>
      <w:r>
        <w:rPr>
          <w:rFonts w:eastAsia="Times New Roman" w:cs="Times New Roman"/>
          <w:kern w:val="0"/>
          <w:sz w:val="28"/>
          <w:szCs w:val="28"/>
          <w:lang w:eastAsia="de-DE"/>
          <w14:ligatures w14:val="none"/>
        </w:rPr>
        <w:t>Ergebnis:</w:t>
      </w:r>
    </w:p>
    <w:p w14:paraId="2C8271BB" w14:textId="4C4B212B"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Einsatzlogbuch aktualisiert. Profil geladen: Lena Voss, forensische Ermittlerin. Fokus: Abrechnungslogik, Benchmarks, Dokumentationspflichten.</w:t>
      </w:r>
    </w:p>
    <w:p w14:paraId="2351D745"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Lena, ich habe die neuen Asservate (insbesondere den VdS 3150 Entwurf 2024, die Anwalts- und GTG-Informationen sowie den detaillierten Trotec-Gerätekatalog) durch den forensischen Filter gejagt.</w:t>
      </w:r>
    </w:p>
    <w:p w14:paraId="15BC3EB9"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Die wichtigste Erkenntnis vorab:</w:t>
      </w:r>
      <w:r w:rsidRPr="00C83EBD">
        <w:rPr>
          <w:rFonts w:eastAsia="Times New Roman" w:cs="Times New Roman"/>
          <w:kern w:val="0"/>
          <w:sz w:val="28"/>
          <w:szCs w:val="28"/>
          <w:lang w:eastAsia="de-DE"/>
          <w14:ligatures w14:val="none"/>
        </w:rPr>
        <w:t xml:space="preserve"> Die freizugänglichen Branchenrichtlinien (VdS, WTA) sowie Herstellerkataloge schweigen sich über konkrete kaufmännische Euro-Werte (Preise, Pauschalen, Margen) absolut aus. Das ist in dieser Branche üblich – Preise werden oft individuell oder über Rahmenverträge diktiert. Du wirst deine EUR-Benchmarks zwingend aus den historischen ERP-Daten der Versicherung (verifizierte Rechnungen) errechnen müssen.</w:t>
      </w:r>
    </w:p>
    <w:p w14:paraId="71BEEBB6"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Hier sind die harten Fakten, die sich aus den Dokumenten extrahieren lassen – und die klaren Ansagen, wo die Quellen blinde Flecken haben:</w:t>
      </w:r>
    </w:p>
    <w:p w14:paraId="4465A146" w14:textId="77777777" w:rsidR="00C83EBD" w:rsidRPr="00C83EBD" w:rsidRDefault="00C83EBD" w:rsidP="00C83EBD">
      <w:pPr>
        <w:spacing w:after="0"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pict w14:anchorId="23CE935C">
          <v:rect id="_x0000_i1025" style="width:0;height:1.5pt" o:hralign="center" o:hrstd="t" o:hr="t" fillcolor="#a0a0a0" stroked="f"/>
        </w:pict>
      </w:r>
    </w:p>
    <w:p w14:paraId="09E8D386" w14:textId="77777777" w:rsidR="00C83EBD" w:rsidRPr="00C83EBD" w:rsidRDefault="00C83EBD" w:rsidP="00C83EBD">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C83EBD">
        <w:rPr>
          <w:rFonts w:eastAsia="Times New Roman" w:cs="Times New Roman"/>
          <w:b/>
          <w:bCs/>
          <w:kern w:val="0"/>
          <w:sz w:val="28"/>
          <w:szCs w:val="28"/>
          <w:lang w:eastAsia="de-DE"/>
          <w14:ligatures w14:val="none"/>
        </w:rPr>
        <w:t>BLOCK A: Was kostet Trocknung?</w:t>
      </w:r>
    </w:p>
    <w:p w14:paraId="44076E08"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1. Definition Gerätetag:</w:t>
      </w:r>
      <w:r w:rsidRPr="00C83EBD">
        <w:rPr>
          <w:rFonts w:eastAsia="Times New Roman" w:cs="Times New Roman"/>
          <w:kern w:val="0"/>
          <w:sz w:val="28"/>
          <w:szCs w:val="28"/>
          <w:lang w:eastAsia="de-DE"/>
          <w14:ligatures w14:val="none"/>
        </w:rPr>
        <w:t xml:space="preserve"> Eine exakte brancheneinheitliche, kaufmännische Definition (wie 24 Stunden oder Kalendertag) wird in den vorliegenden Dokumenten </w:t>
      </w:r>
      <w:r w:rsidRPr="00C83EBD">
        <w:rPr>
          <w:rFonts w:eastAsia="Times New Roman" w:cs="Times New Roman"/>
          <w:i/>
          <w:iCs/>
          <w:kern w:val="0"/>
          <w:sz w:val="28"/>
          <w:szCs w:val="28"/>
          <w:lang w:eastAsia="de-DE"/>
          <w14:ligatures w14:val="none"/>
        </w:rPr>
        <w:t>nicht</w:t>
      </w:r>
      <w:r w:rsidRPr="00C83EBD">
        <w:rPr>
          <w:rFonts w:eastAsia="Times New Roman" w:cs="Times New Roman"/>
          <w:kern w:val="0"/>
          <w:sz w:val="28"/>
          <w:szCs w:val="28"/>
          <w:lang w:eastAsia="de-DE"/>
          <w14:ligatures w14:val="none"/>
        </w:rPr>
        <w:t xml:space="preserve"> genannt. Technisch ist jedoch klar geregelt: Trocknungsanlagen müssen zwingend über einen eigenen Stromverbrauchszähler (in kWh) verfügen, um dem Kunden die tatsächlichen Energiekosten zu erstatten. Moderne Geräte erfassen über manipulationssichere, MID-konforme Dualzähler parallel die Kilowattstunden und die genauen Betriebsstunden.</w:t>
      </w:r>
    </w:p>
    <w:p w14:paraId="6C150524"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2. &amp; 3. Kosten (Gerätetage, Bad/Wohnung/Keller) &amp; 6. Pauschalen (Anfahrt, Ortung):</w:t>
      </w:r>
      <w:r w:rsidRPr="00C83EBD">
        <w:rPr>
          <w:rFonts w:eastAsia="Times New Roman" w:cs="Times New Roman"/>
          <w:kern w:val="0"/>
          <w:sz w:val="28"/>
          <w:szCs w:val="28"/>
          <w:lang w:eastAsia="de-DE"/>
          <w14:ligatures w14:val="none"/>
        </w:rPr>
        <w:t xml:space="preserve"> Zu konkreten Euro-Beträgen für Gerätetage, Komplett-Trocknungen oder Pauschalen liefern die Quellen </w:t>
      </w:r>
      <w:r w:rsidRPr="00C83EBD">
        <w:rPr>
          <w:rFonts w:eastAsia="Times New Roman" w:cs="Times New Roman"/>
          <w:b/>
          <w:bCs/>
          <w:kern w:val="0"/>
          <w:sz w:val="28"/>
          <w:szCs w:val="28"/>
          <w:lang w:eastAsia="de-DE"/>
          <w14:ligatures w14:val="none"/>
        </w:rPr>
        <w:t>keine Angaben</w:t>
      </w:r>
      <w:r w:rsidRPr="00C83EBD">
        <w:rPr>
          <w:rFonts w:eastAsia="Times New Roman" w:cs="Times New Roman"/>
          <w:kern w:val="0"/>
          <w:sz w:val="28"/>
          <w:szCs w:val="28"/>
          <w:lang w:eastAsia="de-DE"/>
          <w14:ligatures w14:val="none"/>
        </w:rPr>
        <w:t>.</w:t>
      </w:r>
    </w:p>
    <w:p w14:paraId="7D7326EB"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4. Einzelpositionen auf einer Trocknungsrechnung:</w:t>
      </w:r>
      <w:r w:rsidRPr="00C83EBD">
        <w:rPr>
          <w:rFonts w:eastAsia="Times New Roman" w:cs="Times New Roman"/>
          <w:kern w:val="0"/>
          <w:sz w:val="28"/>
          <w:szCs w:val="28"/>
          <w:lang w:eastAsia="de-DE"/>
          <w14:ligatures w14:val="none"/>
        </w:rPr>
        <w:t xml:space="preserve"> Eine vorgegebene Rechnungsstruktur mit verbindlichen Einheiten fehlt. Aus den VdS-</w:t>
      </w:r>
      <w:r w:rsidRPr="00C83EBD">
        <w:rPr>
          <w:rFonts w:eastAsia="Times New Roman" w:cs="Times New Roman"/>
          <w:kern w:val="0"/>
          <w:sz w:val="28"/>
          <w:szCs w:val="28"/>
          <w:lang w:eastAsia="de-DE"/>
          <w14:ligatures w14:val="none"/>
        </w:rPr>
        <w:lastRenderedPageBreak/>
        <w:t>Schadendokumentationen und Formularen ergeben sich jedoch folgende schadenrelevante Positionen:</w:t>
      </w:r>
    </w:p>
    <w:p w14:paraId="45A8F47D" w14:textId="77777777" w:rsidR="00C83EBD" w:rsidRPr="00C83EBD" w:rsidRDefault="00C83EBD" w:rsidP="00C83EBD">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Leckageortung</w:t>
      </w:r>
    </w:p>
    <w:p w14:paraId="7DB847A2" w14:textId="77777777" w:rsidR="00C83EBD" w:rsidRPr="00C83EBD" w:rsidRDefault="00C83EBD" w:rsidP="00C83EBD">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An- und Abfahrt (in Std.)</w:t>
      </w:r>
    </w:p>
    <w:p w14:paraId="21A10518" w14:textId="77777777" w:rsidR="00C83EBD" w:rsidRPr="00C83EBD" w:rsidRDefault="00C83EBD" w:rsidP="00C83EBD">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Fahrstrecke (in km)</w:t>
      </w:r>
    </w:p>
    <w:p w14:paraId="394D2B48" w14:textId="77777777" w:rsidR="00C83EBD" w:rsidRPr="00C83EBD" w:rsidRDefault="00C83EBD" w:rsidP="00C83EBD">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Arbeitszeit (in Std.)</w:t>
      </w:r>
    </w:p>
    <w:p w14:paraId="60824085" w14:textId="77777777" w:rsidR="00C83EBD" w:rsidRPr="00C83EBD" w:rsidRDefault="00C83EBD" w:rsidP="00C83EBD">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Trocknung (Geräteeinsatz und Stromverbrauch)</w:t>
      </w:r>
    </w:p>
    <w:p w14:paraId="7FF22693" w14:textId="77777777" w:rsidR="00C83EBD" w:rsidRPr="00C83EBD" w:rsidRDefault="00C83EBD" w:rsidP="00C83EBD">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Handwerksarbeiten: Maler-, Tischler-, Elektro-, Fliesen-, Trockenbau-, Bodenbelags-, Installateur- und Maurerarbeiten</w:t>
      </w:r>
    </w:p>
    <w:p w14:paraId="07BEC3B3" w14:textId="77777777" w:rsidR="00C83EBD" w:rsidRPr="00C83EBD" w:rsidRDefault="00C83EBD" w:rsidP="00C83EBD">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Rückbau, Abbruch und Entsorgung</w:t>
      </w:r>
    </w:p>
    <w:p w14:paraId="3C666BE4" w14:textId="77777777" w:rsidR="00C83EBD" w:rsidRPr="00C83EBD" w:rsidRDefault="00C83EBD" w:rsidP="00C83EBD">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Schadstoffprüfung / Desinfektion</w:t>
      </w:r>
    </w:p>
    <w:p w14:paraId="4045D6B4" w14:textId="77777777" w:rsidR="00C83EBD" w:rsidRPr="00C83EBD" w:rsidRDefault="00C83EBD" w:rsidP="00C83EBD">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Sonstiges</w:t>
      </w:r>
    </w:p>
    <w:p w14:paraId="524A9F2A"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5. Pauschalabrechnung vs. Einzelpositionen:</w:t>
      </w:r>
      <w:r w:rsidRPr="00C83EBD">
        <w:rPr>
          <w:rFonts w:eastAsia="Times New Roman" w:cs="Times New Roman"/>
          <w:kern w:val="0"/>
          <w:sz w:val="28"/>
          <w:szCs w:val="28"/>
          <w:lang w:eastAsia="de-DE"/>
          <w14:ligatures w14:val="none"/>
        </w:rPr>
        <w:t xml:space="preserve"> Die VdS 3150 nennt beide Modelle als Optionen für den Kunden: Die "fiktive/pauschale Abrechnung" (oft genutzt, wenn in Eigenleistung oder bei einer Komplettsanierung reguliert wird) und die "Abwicklung auf Basis von Belegen". Schwellenwerte oder generelle Präferenzen der Versicherer werden in den Quellen </w:t>
      </w:r>
      <w:r w:rsidRPr="00C83EBD">
        <w:rPr>
          <w:rFonts w:eastAsia="Times New Roman" w:cs="Times New Roman"/>
          <w:i/>
          <w:iCs/>
          <w:kern w:val="0"/>
          <w:sz w:val="28"/>
          <w:szCs w:val="28"/>
          <w:lang w:eastAsia="de-DE"/>
          <w14:ligatures w14:val="none"/>
        </w:rPr>
        <w:t>nicht</w:t>
      </w:r>
      <w:r w:rsidRPr="00C83EBD">
        <w:rPr>
          <w:rFonts w:eastAsia="Times New Roman" w:cs="Times New Roman"/>
          <w:kern w:val="0"/>
          <w:sz w:val="28"/>
          <w:szCs w:val="28"/>
          <w:lang w:eastAsia="de-DE"/>
          <w14:ligatures w14:val="none"/>
        </w:rPr>
        <w:t xml:space="preserve"> genannt.</w:t>
      </w:r>
    </w:p>
    <w:p w14:paraId="13C8FE0E" w14:textId="77777777" w:rsidR="00C83EBD" w:rsidRPr="00C83EBD" w:rsidRDefault="00C83EBD" w:rsidP="00C83EBD">
      <w:pPr>
        <w:spacing w:after="0"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pict w14:anchorId="46F7E4DF">
          <v:rect id="_x0000_i1026" style="width:0;height:1.5pt" o:hralign="center" o:hrstd="t" o:hr="t" fillcolor="#a0a0a0" stroked="f"/>
        </w:pict>
      </w:r>
    </w:p>
    <w:p w14:paraId="20C712DD" w14:textId="77777777" w:rsidR="00C83EBD" w:rsidRPr="00C83EBD" w:rsidRDefault="00C83EBD" w:rsidP="00C83EBD">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C83EBD">
        <w:rPr>
          <w:rFonts w:eastAsia="Times New Roman" w:cs="Times New Roman"/>
          <w:b/>
          <w:bCs/>
          <w:kern w:val="0"/>
          <w:sz w:val="28"/>
          <w:szCs w:val="28"/>
          <w:lang w:eastAsia="de-DE"/>
          <w14:ligatures w14:val="none"/>
        </w:rPr>
        <w:t>BLOCK B: Dokumentationspflichten (Forensischer Hebel!)</w:t>
      </w:r>
    </w:p>
    <w:p w14:paraId="102B6F78"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Fehlen diese Daten auf einer 839K-Rechnung, hast du ein massives Red Flag für fiktive Leistungen.</w:t>
      </w:r>
    </w:p>
    <w:p w14:paraId="6D60177F"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7. Pflichtfelder im Trocknungsprotokoll (VdS 3150):</w:t>
      </w:r>
      <w:r w:rsidRPr="00C83EBD">
        <w:rPr>
          <w:rFonts w:eastAsia="Times New Roman" w:cs="Times New Roman"/>
          <w:kern w:val="0"/>
          <w:sz w:val="28"/>
          <w:szCs w:val="28"/>
          <w:lang w:eastAsia="de-DE"/>
          <w14:ligatures w14:val="none"/>
        </w:rPr>
        <w:t xml:space="preserve"> Die erfolgreiche Trocknung ist </w:t>
      </w:r>
      <w:r w:rsidRPr="00C83EBD">
        <w:rPr>
          <w:rFonts w:eastAsia="Times New Roman" w:cs="Times New Roman"/>
          <w:i/>
          <w:iCs/>
          <w:kern w:val="0"/>
          <w:sz w:val="28"/>
          <w:szCs w:val="28"/>
          <w:lang w:eastAsia="de-DE"/>
          <w14:ligatures w14:val="none"/>
        </w:rPr>
        <w:t>zwingend</w:t>
      </w:r>
      <w:r w:rsidRPr="00C83EBD">
        <w:rPr>
          <w:rFonts w:eastAsia="Times New Roman" w:cs="Times New Roman"/>
          <w:kern w:val="0"/>
          <w:sz w:val="28"/>
          <w:szCs w:val="28"/>
          <w:lang w:eastAsia="de-DE"/>
          <w14:ligatures w14:val="none"/>
        </w:rPr>
        <w:t xml:space="preserve"> durch ein Protokoll nachzuweisen. Das VdS-Musterprotokoll fordert folgende Felder:</w:t>
      </w:r>
    </w:p>
    <w:p w14:paraId="1A72593A" w14:textId="77777777" w:rsidR="00C83EBD" w:rsidRPr="00C83EBD" w:rsidRDefault="00C83EBD" w:rsidP="00C83EBD">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Einsatzstelle, Auftraggeber, Art des Trocknungsobjekts (z.B. schwimmender Estrich, Wand, Dämmung).</w:t>
      </w:r>
    </w:p>
    <w:p w14:paraId="2FD5C3BD" w14:textId="77777777" w:rsidR="00C83EBD" w:rsidRPr="00C83EBD" w:rsidRDefault="00C83EBD" w:rsidP="00C83EBD">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Zustand bei Beginn (leicht feucht, stark feucht, freies Wasser).</w:t>
      </w:r>
    </w:p>
    <w:p w14:paraId="36C2EFF2" w14:textId="77777777" w:rsidR="00C83EBD" w:rsidRPr="00C83EBD" w:rsidRDefault="00C83EBD" w:rsidP="00C83EBD">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Eingesetzte Messgeräte.</w:t>
      </w:r>
    </w:p>
    <w:p w14:paraId="6F7BD8EC" w14:textId="77777777" w:rsidR="00C83EBD" w:rsidRPr="00C83EBD" w:rsidRDefault="00C83EBD" w:rsidP="00C83EBD">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Datum der jeweiligen Messung und Name des Prüfers.</w:t>
      </w:r>
    </w:p>
    <w:p w14:paraId="7D3DD6E8" w14:textId="77777777" w:rsidR="00C83EBD" w:rsidRPr="00C83EBD" w:rsidRDefault="00C83EBD" w:rsidP="00C83EBD">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Raumzustand (°C, relative Feuchte in %, absolute Feuchte in g/kg) sowie Einblaswerte.</w:t>
      </w:r>
    </w:p>
    <w:p w14:paraId="486A882E" w14:textId="77777777" w:rsidR="00C83EBD" w:rsidRPr="00C83EBD" w:rsidRDefault="00C83EBD" w:rsidP="00C83EBD">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Aufbau- und Demontagedatum.</w:t>
      </w:r>
    </w:p>
    <w:p w14:paraId="39F716F7" w14:textId="77777777" w:rsidR="00C83EBD" w:rsidRPr="00C83EBD" w:rsidRDefault="00C83EBD" w:rsidP="00C83EBD">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Stromverbrauch.</w:t>
      </w:r>
    </w:p>
    <w:p w14:paraId="5738DBCB" w14:textId="77777777" w:rsidR="00C83EBD" w:rsidRPr="00C83EBD" w:rsidRDefault="00C83EBD" w:rsidP="00C83EBD">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Trocknungsziel erreicht (ja/nein).</w:t>
      </w:r>
    </w:p>
    <w:p w14:paraId="3B54E153"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lastRenderedPageBreak/>
        <w:t>8. Pflichtfelder bei der Feuchtemessung:</w:t>
      </w:r>
      <w:r w:rsidRPr="00C83EBD">
        <w:rPr>
          <w:rFonts w:eastAsia="Times New Roman" w:cs="Times New Roman"/>
          <w:kern w:val="0"/>
          <w:sz w:val="28"/>
          <w:szCs w:val="28"/>
          <w:lang w:eastAsia="de-DE"/>
          <w14:ligatures w14:val="none"/>
        </w:rPr>
        <w:t xml:space="preserve"> Die Anforderungen der VdS 3150 an die Feuchtedokumentation sind strikt und müssen nachvollziehbar sein:</w:t>
      </w:r>
    </w:p>
    <w:p w14:paraId="4254FA2E" w14:textId="77777777" w:rsidR="00C83EBD" w:rsidRPr="00C83EBD" w:rsidRDefault="00C83EBD" w:rsidP="00C83EBD">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Grundrissplan/Skizze der betroffenen Schadenfläche.</w:t>
      </w:r>
    </w:p>
    <w:p w14:paraId="510E860F" w14:textId="77777777" w:rsidR="00C83EBD" w:rsidRPr="00C83EBD" w:rsidRDefault="00C83EBD" w:rsidP="00C83EBD">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 xml:space="preserve">Messpunkte zwingend in den Grundrissplan/Skizze eintragen, inklusive </w:t>
      </w:r>
      <w:r w:rsidRPr="00C83EBD">
        <w:rPr>
          <w:rFonts w:eastAsia="Times New Roman" w:cs="Times New Roman"/>
          <w:b/>
          <w:bCs/>
          <w:kern w:val="0"/>
          <w:sz w:val="28"/>
          <w:szCs w:val="28"/>
          <w:lang w:eastAsia="de-DE"/>
          <w14:ligatures w14:val="none"/>
        </w:rPr>
        <w:t>Position und Höhenlage</w:t>
      </w:r>
      <w:r w:rsidRPr="00C83EBD">
        <w:rPr>
          <w:rFonts w:eastAsia="Times New Roman" w:cs="Times New Roman"/>
          <w:kern w:val="0"/>
          <w:sz w:val="28"/>
          <w:szCs w:val="28"/>
          <w:lang w:eastAsia="de-DE"/>
          <w14:ligatures w14:val="none"/>
        </w:rPr>
        <w:t>.</w:t>
      </w:r>
    </w:p>
    <w:p w14:paraId="3539D500" w14:textId="77777777" w:rsidR="00C83EBD" w:rsidRPr="00C83EBD" w:rsidRDefault="00C83EBD" w:rsidP="00C83EBD">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Art des Messgerätes und physikalische Messeinheit.</w:t>
      </w:r>
    </w:p>
    <w:p w14:paraId="06AD3BE4" w14:textId="77777777" w:rsidR="00C83EBD" w:rsidRPr="00C83EBD" w:rsidRDefault="00C83EBD" w:rsidP="00C83EBD">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t>Art des Feuchtemessverfahrens, exakt dem jeweiligen Messpunkt zugeordnet.</w:t>
      </w:r>
    </w:p>
    <w:p w14:paraId="3EDF59F8"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9. Feuchtegrenzwerte (in %):</w:t>
      </w:r>
      <w:r w:rsidRPr="00C83EBD">
        <w:rPr>
          <w:rFonts w:eastAsia="Times New Roman" w:cs="Times New Roman"/>
          <w:kern w:val="0"/>
          <w:sz w:val="28"/>
          <w:szCs w:val="28"/>
          <w:lang w:eastAsia="de-DE"/>
          <w14:ligatures w14:val="none"/>
        </w:rPr>
        <w:t xml:space="preserve"> Es gibt in den Richtlinien </w:t>
      </w:r>
      <w:r w:rsidRPr="00C83EBD">
        <w:rPr>
          <w:rFonts w:eastAsia="Times New Roman" w:cs="Times New Roman"/>
          <w:b/>
          <w:bCs/>
          <w:kern w:val="0"/>
          <w:sz w:val="28"/>
          <w:szCs w:val="28"/>
          <w:lang w:eastAsia="de-DE"/>
          <w14:ligatures w14:val="none"/>
        </w:rPr>
        <w:t>keine pauschalen %-Werte</w:t>
      </w:r>
      <w:r w:rsidRPr="00C83EBD">
        <w:rPr>
          <w:rFonts w:eastAsia="Times New Roman" w:cs="Times New Roman"/>
          <w:kern w:val="0"/>
          <w:sz w:val="28"/>
          <w:szCs w:val="28"/>
          <w:lang w:eastAsia="de-DE"/>
          <w14:ligatures w14:val="none"/>
        </w:rPr>
        <w:t>, die allgemein als "trocken" gelten. Das offizielle, baustoffspezifische Ziel lautet immer Erreichen der "Ausgleichsfeuchte" (die vom Schaden unbeeinflusste Feuchtigkeit, die sich in einem Material im Kontakt mit der Raumluft von Natur aus einstellt).</w:t>
      </w:r>
    </w:p>
    <w:p w14:paraId="198B4528"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10. Verantwortlichkeit für die Trocknungskontrolle:</w:t>
      </w:r>
      <w:r w:rsidRPr="00C83EBD">
        <w:rPr>
          <w:rFonts w:eastAsia="Times New Roman" w:cs="Times New Roman"/>
          <w:kern w:val="0"/>
          <w:sz w:val="28"/>
          <w:szCs w:val="28"/>
          <w:lang w:eastAsia="de-DE"/>
          <w14:ligatures w14:val="none"/>
        </w:rPr>
        <w:t xml:space="preserve"> Die technische Trocknung, deren Erfolgskontrolle und die Dokumentation wird durch die beauftragte "qualifizierte Fachfirma" bzw. das Sanierungsunternehmen durchgeführt. Sachverständige können unterstützend bei der Bewertung hinzugezogen werden. Die formelle "Abnahme" der Leistungen obliegt dem Auftraggeber (Gebäudeeigentümer).</w:t>
      </w:r>
    </w:p>
    <w:p w14:paraId="0EE8BCA4" w14:textId="77777777" w:rsidR="00C83EBD" w:rsidRPr="00C83EBD" w:rsidRDefault="00C83EBD" w:rsidP="00C83EBD">
      <w:pPr>
        <w:spacing w:after="0"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pict w14:anchorId="2F141E8C">
          <v:rect id="_x0000_i1027" style="width:0;height:1.5pt" o:hralign="center" o:hrstd="t" o:hr="t" fillcolor="#a0a0a0" stroked="f"/>
        </w:pict>
      </w:r>
    </w:p>
    <w:p w14:paraId="1199A065" w14:textId="77777777" w:rsidR="00C83EBD" w:rsidRPr="00C83EBD" w:rsidRDefault="00C83EBD" w:rsidP="00C83EBD">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C83EBD">
        <w:rPr>
          <w:rFonts w:eastAsia="Times New Roman" w:cs="Times New Roman"/>
          <w:b/>
          <w:bCs/>
          <w:kern w:val="0"/>
          <w:sz w:val="28"/>
          <w:szCs w:val="28"/>
          <w:lang w:eastAsia="de-DE"/>
          <w14:ligatures w14:val="none"/>
        </w:rPr>
        <w:t>BLOCK C: Branchenbenchmarks für Signale</w:t>
      </w:r>
    </w:p>
    <w:p w14:paraId="4DAAFABD"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11. &amp; 12. EUR/m2-Werte und Verhältnis Trocknung/Gesamtkosten:</w:t>
      </w:r>
      <w:r w:rsidRPr="00C83EBD">
        <w:rPr>
          <w:rFonts w:eastAsia="Times New Roman" w:cs="Times New Roman"/>
          <w:kern w:val="0"/>
          <w:sz w:val="28"/>
          <w:szCs w:val="28"/>
          <w:lang w:eastAsia="de-DE"/>
          <w14:ligatures w14:val="none"/>
        </w:rPr>
        <w:t xml:space="preserve"> Dazu liefern die Quellen </w:t>
      </w:r>
      <w:r w:rsidRPr="00C83EBD">
        <w:rPr>
          <w:rFonts w:eastAsia="Times New Roman" w:cs="Times New Roman"/>
          <w:b/>
          <w:bCs/>
          <w:kern w:val="0"/>
          <w:sz w:val="28"/>
          <w:szCs w:val="28"/>
          <w:lang w:eastAsia="de-DE"/>
          <w14:ligatures w14:val="none"/>
        </w:rPr>
        <w:t>keine Angaben</w:t>
      </w:r>
      <w:r w:rsidRPr="00C83EBD">
        <w:rPr>
          <w:rFonts w:eastAsia="Times New Roman" w:cs="Times New Roman"/>
          <w:kern w:val="0"/>
          <w:sz w:val="28"/>
          <w:szCs w:val="28"/>
          <w:lang w:eastAsia="de-DE"/>
          <w14:ligatures w14:val="none"/>
        </w:rPr>
        <w:t>.</w:t>
      </w:r>
    </w:p>
    <w:p w14:paraId="3361F968"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13. Benchmark: Geräte pro m2:</w:t>
      </w:r>
      <w:r w:rsidRPr="00C83EBD">
        <w:rPr>
          <w:rFonts w:eastAsia="Times New Roman" w:cs="Times New Roman"/>
          <w:kern w:val="0"/>
          <w:sz w:val="28"/>
          <w:szCs w:val="28"/>
          <w:lang w:eastAsia="de-DE"/>
          <w14:ligatures w14:val="none"/>
        </w:rPr>
        <w:t xml:space="preserve"> Die Trotec-Gerätedaten liefern exzellente Richtwerte für die Gerätedimensionierung (am Beispiel des "VX 5" Systems):</w:t>
      </w:r>
    </w:p>
    <w:p w14:paraId="50A9CEF7" w14:textId="77777777" w:rsidR="00C83EBD" w:rsidRPr="00C83EBD" w:rsidRDefault="00C83EBD" w:rsidP="00C83EBD">
      <w:pPr>
        <w:numPr>
          <w:ilvl w:val="0"/>
          <w:numId w:val="4"/>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i/>
          <w:iCs/>
          <w:kern w:val="0"/>
          <w:sz w:val="28"/>
          <w:szCs w:val="28"/>
          <w:lang w:eastAsia="de-DE"/>
          <w14:ligatures w14:val="none"/>
        </w:rPr>
        <w:t>Raumtrocknung (Überdruck):</w:t>
      </w:r>
      <w:r w:rsidRPr="00C83EBD">
        <w:rPr>
          <w:rFonts w:eastAsia="Times New Roman" w:cs="Times New Roman"/>
          <w:kern w:val="0"/>
          <w:sz w:val="28"/>
          <w:szCs w:val="28"/>
          <w:lang w:eastAsia="de-DE"/>
          <w14:ligatures w14:val="none"/>
        </w:rPr>
        <w:t xml:space="preserve"> 1 Gerät auf Stufe 2 reicht für </w:t>
      </w:r>
      <w:r w:rsidRPr="00C83EBD">
        <w:rPr>
          <w:rFonts w:eastAsia="Times New Roman" w:cs="Times New Roman"/>
          <w:b/>
          <w:bCs/>
          <w:kern w:val="0"/>
          <w:sz w:val="28"/>
          <w:szCs w:val="28"/>
          <w:lang w:eastAsia="de-DE"/>
          <w14:ligatures w14:val="none"/>
        </w:rPr>
        <w:t>60 m2</w:t>
      </w:r>
      <w:r w:rsidRPr="00C83EBD">
        <w:rPr>
          <w:rFonts w:eastAsia="Times New Roman" w:cs="Times New Roman"/>
          <w:kern w:val="0"/>
          <w:sz w:val="28"/>
          <w:szCs w:val="28"/>
          <w:lang w:eastAsia="de-DE"/>
          <w14:ligatures w14:val="none"/>
        </w:rPr>
        <w:t xml:space="preserve">, auf Stufe 3 für </w:t>
      </w:r>
      <w:r w:rsidRPr="00C83EBD">
        <w:rPr>
          <w:rFonts w:eastAsia="Times New Roman" w:cs="Times New Roman"/>
          <w:b/>
          <w:bCs/>
          <w:kern w:val="0"/>
          <w:sz w:val="28"/>
          <w:szCs w:val="28"/>
          <w:lang w:eastAsia="de-DE"/>
          <w14:ligatures w14:val="none"/>
        </w:rPr>
        <w:t>90 m2</w:t>
      </w:r>
      <w:r w:rsidRPr="00C83EBD">
        <w:rPr>
          <w:rFonts w:eastAsia="Times New Roman" w:cs="Times New Roman"/>
          <w:kern w:val="0"/>
          <w:sz w:val="28"/>
          <w:szCs w:val="28"/>
          <w:lang w:eastAsia="de-DE"/>
          <w14:ligatures w14:val="none"/>
        </w:rPr>
        <w:t>.</w:t>
      </w:r>
    </w:p>
    <w:p w14:paraId="1D75BED0" w14:textId="77777777" w:rsidR="00C83EBD" w:rsidRPr="00C83EBD" w:rsidRDefault="00C83EBD" w:rsidP="00C83EBD">
      <w:pPr>
        <w:numPr>
          <w:ilvl w:val="0"/>
          <w:numId w:val="4"/>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i/>
          <w:iCs/>
          <w:kern w:val="0"/>
          <w:sz w:val="28"/>
          <w:szCs w:val="28"/>
          <w:lang w:eastAsia="de-DE"/>
          <w14:ligatures w14:val="none"/>
        </w:rPr>
        <w:t>Dämmschichttrocknung (Unterdruck):</w:t>
      </w:r>
      <w:r w:rsidRPr="00C83EBD">
        <w:rPr>
          <w:rFonts w:eastAsia="Times New Roman" w:cs="Times New Roman"/>
          <w:kern w:val="0"/>
          <w:sz w:val="28"/>
          <w:szCs w:val="28"/>
          <w:lang w:eastAsia="de-DE"/>
          <w14:ligatures w14:val="none"/>
        </w:rPr>
        <w:t xml:space="preserve"> 1 Trockner + 1 Wasserabscheider reichen auf Stufe 2 für </w:t>
      </w:r>
      <w:r w:rsidRPr="00C83EBD">
        <w:rPr>
          <w:rFonts w:eastAsia="Times New Roman" w:cs="Times New Roman"/>
          <w:b/>
          <w:bCs/>
          <w:kern w:val="0"/>
          <w:sz w:val="28"/>
          <w:szCs w:val="28"/>
          <w:lang w:eastAsia="de-DE"/>
          <w14:ligatures w14:val="none"/>
        </w:rPr>
        <w:t>50 m2</w:t>
      </w:r>
      <w:r w:rsidRPr="00C83EBD">
        <w:rPr>
          <w:rFonts w:eastAsia="Times New Roman" w:cs="Times New Roman"/>
          <w:kern w:val="0"/>
          <w:sz w:val="28"/>
          <w:szCs w:val="28"/>
          <w:lang w:eastAsia="de-DE"/>
          <w14:ligatures w14:val="none"/>
        </w:rPr>
        <w:t xml:space="preserve">, auf Stufe 3 für </w:t>
      </w:r>
      <w:r w:rsidRPr="00C83EBD">
        <w:rPr>
          <w:rFonts w:eastAsia="Times New Roman" w:cs="Times New Roman"/>
          <w:b/>
          <w:bCs/>
          <w:kern w:val="0"/>
          <w:sz w:val="28"/>
          <w:szCs w:val="28"/>
          <w:lang w:eastAsia="de-DE"/>
          <w14:ligatures w14:val="none"/>
        </w:rPr>
        <w:t>70 m2</w:t>
      </w:r>
      <w:r w:rsidRPr="00C83EBD">
        <w:rPr>
          <w:rFonts w:eastAsia="Times New Roman" w:cs="Times New Roman"/>
          <w:kern w:val="0"/>
          <w:sz w:val="28"/>
          <w:szCs w:val="28"/>
          <w:lang w:eastAsia="de-DE"/>
          <w14:ligatures w14:val="none"/>
        </w:rPr>
        <w:t>.</w:t>
      </w:r>
    </w:p>
    <w:p w14:paraId="4925E650" w14:textId="77777777" w:rsidR="00C83EBD" w:rsidRPr="00C83EBD" w:rsidRDefault="00C83EBD" w:rsidP="00C83EBD">
      <w:pPr>
        <w:numPr>
          <w:ilvl w:val="0"/>
          <w:numId w:val="4"/>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i/>
          <w:iCs/>
          <w:kern w:val="0"/>
          <w:sz w:val="28"/>
          <w:szCs w:val="28"/>
          <w:lang w:eastAsia="de-DE"/>
          <w14:ligatures w14:val="none"/>
        </w:rPr>
        <w:t>Forensisches Signal:</w:t>
      </w:r>
      <w:r w:rsidRPr="00C83EBD">
        <w:rPr>
          <w:rFonts w:eastAsia="Times New Roman" w:cs="Times New Roman"/>
          <w:kern w:val="0"/>
          <w:sz w:val="28"/>
          <w:szCs w:val="28"/>
          <w:lang w:eastAsia="de-DE"/>
          <w14:ligatures w14:val="none"/>
        </w:rPr>
        <w:t xml:space="preserve"> Rechnet ein Sanierer mehr Geräte für diese Flächen ab, ist dies ein harter Indikator für Überdimensionierung.</w:t>
      </w:r>
    </w:p>
    <w:p w14:paraId="4E01601B"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lastRenderedPageBreak/>
        <w:t>14. Benchmark: Stromverbrauch (kWh) pro Gerätetyp:</w:t>
      </w:r>
      <w:r w:rsidRPr="00C83EBD">
        <w:rPr>
          <w:rFonts w:eastAsia="Times New Roman" w:cs="Times New Roman"/>
          <w:kern w:val="0"/>
          <w:sz w:val="28"/>
          <w:szCs w:val="28"/>
          <w:lang w:eastAsia="de-DE"/>
          <w14:ligatures w14:val="none"/>
        </w:rPr>
        <w:t xml:space="preserve"> Leistungsaufnahmen aktueller Geräte, mit denen du den Tagesverbrauch (24h) berechnen kannst:</w:t>
      </w:r>
    </w:p>
    <w:p w14:paraId="25D0CBDE" w14:textId="77777777" w:rsidR="00C83EBD" w:rsidRPr="00C83EBD" w:rsidRDefault="00C83EBD" w:rsidP="00C83EBD">
      <w:pPr>
        <w:numPr>
          <w:ilvl w:val="0"/>
          <w:numId w:val="5"/>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i/>
          <w:iCs/>
          <w:kern w:val="0"/>
          <w:sz w:val="28"/>
          <w:szCs w:val="28"/>
          <w:lang w:eastAsia="de-DE"/>
          <w14:ligatures w14:val="none"/>
        </w:rPr>
        <w:t>Dämmschichttrockner (Turbomotor, z. B. Qube+ / VX 5):</w:t>
      </w:r>
      <w:r w:rsidRPr="00C83EBD">
        <w:rPr>
          <w:rFonts w:eastAsia="Times New Roman" w:cs="Times New Roman"/>
          <w:kern w:val="0"/>
          <w:sz w:val="28"/>
          <w:szCs w:val="28"/>
          <w:lang w:eastAsia="de-DE"/>
          <w14:ligatures w14:val="none"/>
        </w:rPr>
        <w:t xml:space="preserve"> 0,12 kW bis max. 1,2 kW (ca. 2,8 bis 28,8 kWh/24h).</w:t>
      </w:r>
    </w:p>
    <w:p w14:paraId="5629D83E" w14:textId="77777777" w:rsidR="00C83EBD" w:rsidRPr="00C83EBD" w:rsidRDefault="00C83EBD" w:rsidP="00C83EBD">
      <w:pPr>
        <w:numPr>
          <w:ilvl w:val="0"/>
          <w:numId w:val="5"/>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i/>
          <w:iCs/>
          <w:kern w:val="0"/>
          <w:sz w:val="28"/>
          <w:szCs w:val="28"/>
          <w:lang w:eastAsia="de-DE"/>
          <w14:ligatures w14:val="none"/>
        </w:rPr>
        <w:t>Klassischer Seitenkanalverdichter (z. B. VE 4):</w:t>
      </w:r>
      <w:r w:rsidRPr="00C83EBD">
        <w:rPr>
          <w:rFonts w:eastAsia="Times New Roman" w:cs="Times New Roman"/>
          <w:kern w:val="0"/>
          <w:sz w:val="28"/>
          <w:szCs w:val="28"/>
          <w:lang w:eastAsia="de-DE"/>
          <w14:ligatures w14:val="none"/>
        </w:rPr>
        <w:t xml:space="preserve"> 1,1 kW (26,4 kWh/24h). (Sehr alte Modelle lagen bei bis zu 3 kW).</w:t>
      </w:r>
    </w:p>
    <w:p w14:paraId="1E599F23" w14:textId="77777777" w:rsidR="00C83EBD" w:rsidRPr="00C83EBD" w:rsidRDefault="00C83EBD" w:rsidP="00C83EBD">
      <w:pPr>
        <w:numPr>
          <w:ilvl w:val="0"/>
          <w:numId w:val="5"/>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i/>
          <w:iCs/>
          <w:kern w:val="0"/>
          <w:sz w:val="28"/>
          <w:szCs w:val="28"/>
          <w:lang w:eastAsia="de-DE"/>
          <w14:ligatures w14:val="none"/>
        </w:rPr>
        <w:t>Kompakt-Kondenstrockner (Raumtrockner, z. B. TTK Qube):</w:t>
      </w:r>
      <w:r w:rsidRPr="00C83EBD">
        <w:rPr>
          <w:rFonts w:eastAsia="Times New Roman" w:cs="Times New Roman"/>
          <w:kern w:val="0"/>
          <w:sz w:val="28"/>
          <w:szCs w:val="28"/>
          <w:lang w:eastAsia="de-DE"/>
          <w14:ligatures w14:val="none"/>
        </w:rPr>
        <w:t xml:space="preserve"> 0,362 kW (ca. 8,7 kWh/24h).</w:t>
      </w:r>
    </w:p>
    <w:p w14:paraId="6F3AC8AB" w14:textId="77777777" w:rsidR="00C83EBD" w:rsidRPr="00C83EBD" w:rsidRDefault="00C83EBD" w:rsidP="00C83EBD">
      <w:pPr>
        <w:numPr>
          <w:ilvl w:val="0"/>
          <w:numId w:val="5"/>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i/>
          <w:iCs/>
          <w:kern w:val="0"/>
          <w:sz w:val="28"/>
          <w:szCs w:val="28"/>
          <w:lang w:eastAsia="de-DE"/>
          <w14:ligatures w14:val="none"/>
        </w:rPr>
        <w:t>Radiallüfter/Ventilator (z. B. TFV Pro 1):</w:t>
      </w:r>
      <w:r w:rsidRPr="00C83EBD">
        <w:rPr>
          <w:rFonts w:eastAsia="Times New Roman" w:cs="Times New Roman"/>
          <w:kern w:val="0"/>
          <w:sz w:val="28"/>
          <w:szCs w:val="28"/>
          <w:lang w:eastAsia="de-DE"/>
          <w14:ligatures w14:val="none"/>
        </w:rPr>
        <w:t xml:space="preserve"> 0,17 kW (ca. 4 kWh/24h).</w:t>
      </w:r>
    </w:p>
    <w:p w14:paraId="3D3148D9" w14:textId="77777777" w:rsidR="00C83EBD" w:rsidRPr="00C83EBD" w:rsidRDefault="00C83EBD" w:rsidP="00C83EBD">
      <w:pPr>
        <w:spacing w:after="0" w:line="240" w:lineRule="auto"/>
        <w:rPr>
          <w:rFonts w:eastAsia="Times New Roman" w:cs="Times New Roman"/>
          <w:kern w:val="0"/>
          <w:sz w:val="28"/>
          <w:szCs w:val="28"/>
          <w:lang w:eastAsia="de-DE"/>
          <w14:ligatures w14:val="none"/>
        </w:rPr>
      </w:pPr>
      <w:r w:rsidRPr="00C83EBD">
        <w:rPr>
          <w:rFonts w:eastAsia="Times New Roman" w:cs="Times New Roman"/>
          <w:kern w:val="0"/>
          <w:sz w:val="28"/>
          <w:szCs w:val="28"/>
          <w:lang w:eastAsia="de-DE"/>
          <w14:ligatures w14:val="none"/>
        </w:rPr>
        <w:pict w14:anchorId="31E4AB0A">
          <v:rect id="_x0000_i1028" style="width:0;height:1.5pt" o:hralign="center" o:hrstd="t" o:hr="t" fillcolor="#a0a0a0" stroked="f"/>
        </w:pict>
      </w:r>
    </w:p>
    <w:p w14:paraId="26C48912" w14:textId="77777777" w:rsidR="00C83EBD" w:rsidRPr="00C83EBD" w:rsidRDefault="00C83EBD" w:rsidP="00C83EBD">
      <w:pPr>
        <w:spacing w:before="100" w:beforeAutospacing="1" w:after="100" w:afterAutospacing="1" w:line="240" w:lineRule="auto"/>
        <w:outlineLvl w:val="2"/>
        <w:rPr>
          <w:rFonts w:eastAsia="Times New Roman" w:cs="Times New Roman"/>
          <w:b/>
          <w:bCs/>
          <w:kern w:val="0"/>
          <w:sz w:val="28"/>
          <w:szCs w:val="28"/>
          <w:lang w:eastAsia="de-DE"/>
          <w14:ligatures w14:val="none"/>
        </w:rPr>
      </w:pPr>
      <w:r w:rsidRPr="00C83EBD">
        <w:rPr>
          <w:rFonts w:eastAsia="Times New Roman" w:cs="Times New Roman"/>
          <w:b/>
          <w:bCs/>
          <w:kern w:val="0"/>
          <w:sz w:val="28"/>
          <w:szCs w:val="28"/>
          <w:lang w:eastAsia="de-DE"/>
          <w14:ligatures w14:val="none"/>
        </w:rPr>
        <w:t>BLOCK D: Software und Qualitätsmerkmale</w:t>
      </w:r>
    </w:p>
    <w:p w14:paraId="5CCB4204"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15. Branchensoftware:</w:t>
      </w:r>
      <w:r w:rsidRPr="00C83EBD">
        <w:rPr>
          <w:rFonts w:eastAsia="Times New Roman" w:cs="Times New Roman"/>
          <w:kern w:val="0"/>
          <w:sz w:val="28"/>
          <w:szCs w:val="28"/>
          <w:lang w:eastAsia="de-DE"/>
          <w14:ligatures w14:val="none"/>
        </w:rPr>
        <w:t xml:space="preserve"> Systeme wie Xactimate, Encircle oder EagleView werden in den Dokumenten </w:t>
      </w:r>
      <w:r w:rsidRPr="00C83EBD">
        <w:rPr>
          <w:rFonts w:eastAsia="Times New Roman" w:cs="Times New Roman"/>
          <w:i/>
          <w:iCs/>
          <w:kern w:val="0"/>
          <w:sz w:val="28"/>
          <w:szCs w:val="28"/>
          <w:lang w:eastAsia="de-DE"/>
          <w14:ligatures w14:val="none"/>
        </w:rPr>
        <w:t>nicht</w:t>
      </w:r>
      <w:r w:rsidRPr="00C83EBD">
        <w:rPr>
          <w:rFonts w:eastAsia="Times New Roman" w:cs="Times New Roman"/>
          <w:kern w:val="0"/>
          <w:sz w:val="28"/>
          <w:szCs w:val="28"/>
          <w:lang w:eastAsia="de-DE"/>
          <w14:ligatures w14:val="none"/>
        </w:rPr>
        <w:t xml:space="preserve"> genannt. Trotec nennt als Standard-Werkzeuge die webbasierte Portalsoftware </w:t>
      </w:r>
      <w:r w:rsidRPr="00C83EBD">
        <w:rPr>
          <w:rFonts w:eastAsia="Times New Roman" w:cs="Times New Roman"/>
          <w:b/>
          <w:bCs/>
          <w:kern w:val="0"/>
          <w:sz w:val="28"/>
          <w:szCs w:val="28"/>
          <w:lang w:eastAsia="de-DE"/>
          <w14:ligatures w14:val="none"/>
        </w:rPr>
        <w:t>"MQDatamonitor"</w:t>
      </w:r>
      <w:r w:rsidRPr="00C83EBD">
        <w:rPr>
          <w:rFonts w:eastAsia="Times New Roman" w:cs="Times New Roman"/>
          <w:kern w:val="0"/>
          <w:sz w:val="28"/>
          <w:szCs w:val="28"/>
          <w:lang w:eastAsia="de-DE"/>
          <w14:ligatures w14:val="none"/>
        </w:rPr>
        <w:t xml:space="preserve"> zur Echtzeit-Fernüberwachung von Trocknungsanlagen sowie die PC-Software </w:t>
      </w:r>
      <w:r w:rsidRPr="00C83EBD">
        <w:rPr>
          <w:rFonts w:eastAsia="Times New Roman" w:cs="Times New Roman"/>
          <w:b/>
          <w:bCs/>
          <w:kern w:val="0"/>
          <w:sz w:val="28"/>
          <w:szCs w:val="28"/>
          <w:lang w:eastAsia="de-DE"/>
          <w14:ligatures w14:val="none"/>
        </w:rPr>
        <w:t>"MultiMeasure Studio Professional"</w:t>
      </w:r>
      <w:r w:rsidRPr="00C83EBD">
        <w:rPr>
          <w:rFonts w:eastAsia="Times New Roman" w:cs="Times New Roman"/>
          <w:kern w:val="0"/>
          <w:sz w:val="28"/>
          <w:szCs w:val="28"/>
          <w:lang w:eastAsia="de-DE"/>
          <w14:ligatures w14:val="none"/>
        </w:rPr>
        <w:t xml:space="preserve"> zur automatisierten Verwaltung von Messdaten und Reporterstellung.</w:t>
      </w:r>
    </w:p>
    <w:p w14:paraId="7CB0826B"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16. Zertifizierungen:</w:t>
      </w:r>
      <w:r w:rsidRPr="00C83EBD">
        <w:rPr>
          <w:rFonts w:eastAsia="Times New Roman" w:cs="Times New Roman"/>
          <w:kern w:val="0"/>
          <w:sz w:val="28"/>
          <w:szCs w:val="28"/>
          <w:lang w:eastAsia="de-DE"/>
          <w14:ligatures w14:val="none"/>
        </w:rPr>
        <w:t xml:space="preserve"> Konkrete Unternehmens-Prüfsiegel (TÜV, DHBV, Innung) fehlen in den Quellen. Gefordert wird lediglich der Einsatz "speziell qualifizierter Fachfirmen". Trotec bietet ein eigenes Seminar mit dem Abschluss </w:t>
      </w:r>
      <w:r w:rsidRPr="00C83EBD">
        <w:rPr>
          <w:rFonts w:eastAsia="Times New Roman" w:cs="Times New Roman"/>
          <w:b/>
          <w:bCs/>
          <w:kern w:val="0"/>
          <w:sz w:val="28"/>
          <w:szCs w:val="28"/>
          <w:lang w:eastAsia="de-DE"/>
          <w14:ligatures w14:val="none"/>
        </w:rPr>
        <w:t>"Fachberater Wasserschadensanierung"</w:t>
      </w:r>
      <w:r w:rsidRPr="00C83EBD">
        <w:rPr>
          <w:rFonts w:eastAsia="Times New Roman" w:cs="Times New Roman"/>
          <w:kern w:val="0"/>
          <w:sz w:val="28"/>
          <w:szCs w:val="28"/>
          <w:lang w:eastAsia="de-DE"/>
          <w14:ligatures w14:val="none"/>
        </w:rPr>
        <w:t xml:space="preserve"> an.</w:t>
      </w:r>
    </w:p>
    <w:p w14:paraId="1A884373"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17. Qualitätsmerkmale eines seriösen Sanierers (Checkliste):</w:t>
      </w:r>
      <w:r w:rsidRPr="00C83EBD">
        <w:rPr>
          <w:rFonts w:eastAsia="Times New Roman" w:cs="Times New Roman"/>
          <w:kern w:val="0"/>
          <w:sz w:val="28"/>
          <w:szCs w:val="28"/>
          <w:lang w:eastAsia="de-DE"/>
          <w14:ligatures w14:val="none"/>
        </w:rPr>
        <w:t xml:space="preserve"> Ein Sanierer, der normgerecht (VdS) und nach dem Stand der Technik arbeitet, zeichnet sich durch folgende Merkmale aus:</w:t>
      </w:r>
    </w:p>
    <w:p w14:paraId="789060ED" w14:textId="77777777" w:rsidR="00C83EBD" w:rsidRPr="00C83EBD" w:rsidRDefault="00C83EBD" w:rsidP="00C83EBD">
      <w:pPr>
        <w:numPr>
          <w:ilvl w:val="0"/>
          <w:numId w:val="6"/>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Wirtschaftlichkeit / Rückbau-Regel:</w:t>
      </w:r>
      <w:r w:rsidRPr="00C83EBD">
        <w:rPr>
          <w:rFonts w:eastAsia="Times New Roman" w:cs="Times New Roman"/>
          <w:kern w:val="0"/>
          <w:sz w:val="28"/>
          <w:szCs w:val="28"/>
          <w:lang w:eastAsia="de-DE"/>
          <w14:ligatures w14:val="none"/>
        </w:rPr>
        <w:t xml:space="preserve"> Er arbeitet nach der Prämisse "So wenig wie möglich, so viel wie nötig". Wenn eine technische Trocknung zu lange dauert oder unwirtschaftlich ist, empfiehlt er aktiv alternative Methoden wie den Rückbau.</w:t>
      </w:r>
    </w:p>
    <w:p w14:paraId="55E34F3E" w14:textId="77777777" w:rsidR="00C83EBD" w:rsidRPr="00C83EBD" w:rsidRDefault="00C83EBD" w:rsidP="00C83EBD">
      <w:pPr>
        <w:numPr>
          <w:ilvl w:val="0"/>
          <w:numId w:val="6"/>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Trocknungsdauer:</w:t>
      </w:r>
      <w:r w:rsidRPr="00C83EBD">
        <w:rPr>
          <w:rFonts w:eastAsia="Times New Roman" w:cs="Times New Roman"/>
          <w:kern w:val="0"/>
          <w:sz w:val="28"/>
          <w:szCs w:val="28"/>
          <w:lang w:eastAsia="de-DE"/>
          <w14:ligatures w14:val="none"/>
        </w:rPr>
        <w:t xml:space="preserve"> Er hält sich an die Regeltrocknungszeiten von durchschnittlich 14 bis maximal 21 Tagen für typische Dämmschichten und massive Bauteile. (Hinweis: Laut Anwälten bleiben Geräte "regelmäßig mindestens 3 Wochen" stehen).</w:t>
      </w:r>
    </w:p>
    <w:p w14:paraId="0C63F423" w14:textId="77777777" w:rsidR="00C83EBD" w:rsidRPr="00C83EBD" w:rsidRDefault="00C83EBD" w:rsidP="00C83EBD">
      <w:pPr>
        <w:numPr>
          <w:ilvl w:val="0"/>
          <w:numId w:val="6"/>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Energie-Abrechnung:</w:t>
      </w:r>
      <w:r w:rsidRPr="00C83EBD">
        <w:rPr>
          <w:rFonts w:eastAsia="Times New Roman" w:cs="Times New Roman"/>
          <w:kern w:val="0"/>
          <w:sz w:val="28"/>
          <w:szCs w:val="28"/>
          <w:lang w:eastAsia="de-DE"/>
          <w14:ligatures w14:val="none"/>
        </w:rPr>
        <w:t xml:space="preserve"> Er setzt Geräte mit eigenem, MID-konformem Stromverbrauchszähler (kWh) ein und dokumentiert den genauen kWh-Verbrauch für den Kunden und Energieversorger.</w:t>
      </w:r>
    </w:p>
    <w:p w14:paraId="7199AACB" w14:textId="77777777" w:rsidR="00C83EBD" w:rsidRPr="00C83EBD" w:rsidRDefault="00C83EBD" w:rsidP="00C83EBD">
      <w:pPr>
        <w:numPr>
          <w:ilvl w:val="0"/>
          <w:numId w:val="6"/>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lastRenderedPageBreak/>
        <w:t>Hygiene:</w:t>
      </w:r>
      <w:r w:rsidRPr="00C83EBD">
        <w:rPr>
          <w:rFonts w:eastAsia="Times New Roman" w:cs="Times New Roman"/>
          <w:kern w:val="0"/>
          <w:sz w:val="28"/>
          <w:szCs w:val="28"/>
          <w:lang w:eastAsia="de-DE"/>
          <w14:ligatures w14:val="none"/>
        </w:rPr>
        <w:t xml:space="preserve"> Er arbeitet bei Schadstoff- oder Schimmelbelastung zwingend im Unterdruckverfahren und nutzt HEPA-Filter der Klasse H13.</w:t>
      </w:r>
    </w:p>
    <w:p w14:paraId="2F3A23E9" w14:textId="77777777" w:rsidR="00C83EBD" w:rsidRPr="00C83EBD" w:rsidRDefault="00C83EBD" w:rsidP="00C83EBD">
      <w:pPr>
        <w:numPr>
          <w:ilvl w:val="0"/>
          <w:numId w:val="6"/>
        </w:num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Moderne Technologie:</w:t>
      </w:r>
      <w:r w:rsidRPr="00C83EBD">
        <w:rPr>
          <w:rFonts w:eastAsia="Times New Roman" w:cs="Times New Roman"/>
          <w:kern w:val="0"/>
          <w:sz w:val="28"/>
          <w:szCs w:val="28"/>
          <w:lang w:eastAsia="de-DE"/>
          <w14:ligatures w14:val="none"/>
        </w:rPr>
        <w:t xml:space="preserve"> Er nutzt sensorgestützte Intervalleinheiten (wie die DA 4 Qube), die Übertrocknungen verhindern, gezielt die feuchtesten Zonen ansteuern und die Trocknungszeiten extrem verkürzen. Er lässt Geräte nicht tagelang auf Verdacht leerlaufen ("Abbau-Leerfahrten").</w:t>
      </w:r>
    </w:p>
    <w:p w14:paraId="6480665A" w14:textId="77777777" w:rsidR="00C83EBD" w:rsidRPr="00C83EBD" w:rsidRDefault="00C83EBD" w:rsidP="00C83EBD">
      <w:pPr>
        <w:spacing w:before="100" w:beforeAutospacing="1" w:after="100" w:afterAutospacing="1" w:line="240" w:lineRule="auto"/>
        <w:rPr>
          <w:rFonts w:eastAsia="Times New Roman" w:cs="Times New Roman"/>
          <w:kern w:val="0"/>
          <w:sz w:val="28"/>
          <w:szCs w:val="28"/>
          <w:lang w:eastAsia="de-DE"/>
          <w14:ligatures w14:val="none"/>
        </w:rPr>
      </w:pPr>
      <w:r w:rsidRPr="00C83EBD">
        <w:rPr>
          <w:rFonts w:eastAsia="Times New Roman" w:cs="Times New Roman"/>
          <w:b/>
          <w:bCs/>
          <w:kern w:val="0"/>
          <w:sz w:val="28"/>
          <w:szCs w:val="28"/>
          <w:lang w:eastAsia="de-DE"/>
          <w14:ligatures w14:val="none"/>
        </w:rPr>
        <w:t>18. Preissteigerungen:</w:t>
      </w:r>
      <w:r w:rsidRPr="00C83EBD">
        <w:rPr>
          <w:rFonts w:eastAsia="Times New Roman" w:cs="Times New Roman"/>
          <w:kern w:val="0"/>
          <w:sz w:val="28"/>
          <w:szCs w:val="28"/>
          <w:lang w:eastAsia="de-DE"/>
          <w14:ligatures w14:val="none"/>
        </w:rPr>
        <w:t xml:space="preserve"> Dazu liefern die Quellen </w:t>
      </w:r>
      <w:r w:rsidRPr="00C83EBD">
        <w:rPr>
          <w:rFonts w:eastAsia="Times New Roman" w:cs="Times New Roman"/>
          <w:b/>
          <w:bCs/>
          <w:kern w:val="0"/>
          <w:sz w:val="28"/>
          <w:szCs w:val="28"/>
          <w:lang w:eastAsia="de-DE"/>
          <w14:ligatures w14:val="none"/>
        </w:rPr>
        <w:t>keine Angaben</w:t>
      </w:r>
      <w:r w:rsidRPr="00C83EBD">
        <w:rPr>
          <w:rFonts w:eastAsia="Times New Roman" w:cs="Times New Roman"/>
          <w:kern w:val="0"/>
          <w:sz w:val="28"/>
          <w:szCs w:val="28"/>
          <w:lang w:eastAsia="de-DE"/>
          <w14:ligatures w14:val="none"/>
        </w:rPr>
        <w:t>.</w:t>
      </w:r>
    </w:p>
    <w:p w14:paraId="6263D6C1" w14:textId="77777777" w:rsidR="00C83EBD" w:rsidRDefault="00C83EBD"/>
    <w:sectPr w:rsidR="00C83EB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6160"/>
    <w:multiLevelType w:val="multilevel"/>
    <w:tmpl w:val="E7FE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C2736"/>
    <w:multiLevelType w:val="multilevel"/>
    <w:tmpl w:val="1454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B53B3"/>
    <w:multiLevelType w:val="multilevel"/>
    <w:tmpl w:val="8B76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115B8"/>
    <w:multiLevelType w:val="multilevel"/>
    <w:tmpl w:val="E9DE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F46DD"/>
    <w:multiLevelType w:val="multilevel"/>
    <w:tmpl w:val="8AA0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91A16"/>
    <w:multiLevelType w:val="multilevel"/>
    <w:tmpl w:val="E12C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066380">
    <w:abstractNumId w:val="0"/>
  </w:num>
  <w:num w:numId="2" w16cid:durableId="982391708">
    <w:abstractNumId w:val="2"/>
  </w:num>
  <w:num w:numId="3" w16cid:durableId="1864245635">
    <w:abstractNumId w:val="4"/>
  </w:num>
  <w:num w:numId="4" w16cid:durableId="2111584188">
    <w:abstractNumId w:val="3"/>
  </w:num>
  <w:num w:numId="5" w16cid:durableId="188185368">
    <w:abstractNumId w:val="5"/>
  </w:num>
  <w:num w:numId="6" w16cid:durableId="486286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BD"/>
    <w:rsid w:val="000F16D7"/>
    <w:rsid w:val="005E70E9"/>
    <w:rsid w:val="00C83E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0C6E3"/>
  <w15:chartTrackingRefBased/>
  <w15:docId w15:val="{93D357EC-1EA1-470D-9CE4-EA22DBFC2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83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83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83EB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83EB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83EB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83EB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83EB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3EB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3EB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83EB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83EB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83EB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83EB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83EB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83EB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83EB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83EB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83EBD"/>
    <w:rPr>
      <w:rFonts w:eastAsiaTheme="majorEastAsia" w:cstheme="majorBidi"/>
      <w:color w:val="272727" w:themeColor="text1" w:themeTint="D8"/>
    </w:rPr>
  </w:style>
  <w:style w:type="paragraph" w:styleId="Titel">
    <w:name w:val="Title"/>
    <w:basedOn w:val="Standard"/>
    <w:next w:val="Standard"/>
    <w:link w:val="TitelZchn"/>
    <w:uiPriority w:val="10"/>
    <w:qFormat/>
    <w:rsid w:val="00C83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3EB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3EB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3EB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3EB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83EBD"/>
    <w:rPr>
      <w:i/>
      <w:iCs/>
      <w:color w:val="404040" w:themeColor="text1" w:themeTint="BF"/>
    </w:rPr>
  </w:style>
  <w:style w:type="paragraph" w:styleId="Listenabsatz">
    <w:name w:val="List Paragraph"/>
    <w:basedOn w:val="Standard"/>
    <w:uiPriority w:val="34"/>
    <w:qFormat/>
    <w:rsid w:val="00C83EBD"/>
    <w:pPr>
      <w:ind w:left="720"/>
      <w:contextualSpacing/>
    </w:pPr>
  </w:style>
  <w:style w:type="character" w:styleId="IntensiveHervorhebung">
    <w:name w:val="Intense Emphasis"/>
    <w:basedOn w:val="Absatz-Standardschriftart"/>
    <w:uiPriority w:val="21"/>
    <w:qFormat/>
    <w:rsid w:val="00C83EBD"/>
    <w:rPr>
      <w:i/>
      <w:iCs/>
      <w:color w:val="0F4761" w:themeColor="accent1" w:themeShade="BF"/>
    </w:rPr>
  </w:style>
  <w:style w:type="paragraph" w:styleId="IntensivesZitat">
    <w:name w:val="Intense Quote"/>
    <w:basedOn w:val="Standard"/>
    <w:next w:val="Standard"/>
    <w:link w:val="IntensivesZitatZchn"/>
    <w:uiPriority w:val="30"/>
    <w:qFormat/>
    <w:rsid w:val="00C83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83EBD"/>
    <w:rPr>
      <w:i/>
      <w:iCs/>
      <w:color w:val="0F4761" w:themeColor="accent1" w:themeShade="BF"/>
    </w:rPr>
  </w:style>
  <w:style w:type="character" w:styleId="IntensiverVerweis">
    <w:name w:val="Intense Reference"/>
    <w:basedOn w:val="Absatz-Standardschriftart"/>
    <w:uiPriority w:val="32"/>
    <w:qFormat/>
    <w:rsid w:val="00C83E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1360</Words>
  <Characters>8574</Characters>
  <Application>Microsoft Office Word</Application>
  <DocSecurity>0</DocSecurity>
  <Lines>71</Lines>
  <Paragraphs>19</Paragraphs>
  <ScaleCrop>false</ScaleCrop>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Kauert</dc:creator>
  <cp:keywords/>
  <dc:description/>
  <cp:lastModifiedBy>Mirko Kauert</cp:lastModifiedBy>
  <cp:revision>2</cp:revision>
  <dcterms:created xsi:type="dcterms:W3CDTF">2026-04-05T09:30:00Z</dcterms:created>
  <dcterms:modified xsi:type="dcterms:W3CDTF">2026-04-05T09:32:00Z</dcterms:modified>
</cp:coreProperties>
</file>