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720B3" w14:textId="5CC895B3" w:rsidR="00880A06" w:rsidRDefault="00880A06" w:rsidP="00880A06">
      <w:pPr>
        <w:rPr>
          <w:sz w:val="28"/>
          <w:szCs w:val="28"/>
        </w:rPr>
      </w:pPr>
      <w:r>
        <w:rPr>
          <w:sz w:val="28"/>
          <w:szCs w:val="28"/>
        </w:rPr>
        <w:t>*** Prompt:</w:t>
      </w:r>
    </w:p>
    <w:p w14:paraId="6623CE59"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NotebookLM Prompt — Runde 7: Compliance + Recht + KI-Forensik</w:t>
      </w:r>
    </w:p>
    <w:p w14:paraId="06B02B7D"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&gt; Fuer: COSO, ACFE, Transparency Intl, BSI, Rechtsgrundlagen, KI-Betrugserkennung</w:t>
      </w:r>
      <w:r w:rsidRPr="00880A06">
        <w:rPr>
          <w:rFonts w:cs="Calibri"/>
          <w:color w:val="000000"/>
          <w:kern w:val="0"/>
          <w:sz w:val="28"/>
          <w:szCs w:val="28"/>
        </w:rPr>
        <w:br/>
        <w:t>&gt; Ziel: Lenas Methodik an internationale Standards anbinden + rechtliche Einordnung der WSM-Befunde</w:t>
      </w:r>
      <w:r w:rsidRPr="00880A06">
        <w:rPr>
          <w:rFonts w:cs="Calibri"/>
          <w:color w:val="000000"/>
          <w:kern w:val="0"/>
          <w:sz w:val="28"/>
          <w:szCs w:val="28"/>
        </w:rPr>
        <w:br/>
        <w:t>&gt; Quellen: 13 Stueck (COSO, ACFE Tree+Tools, TI Construction, BSI DER.2.2, KPMG KI, Wiley Benford, §299, §263, GeschGehG, RA Plutte, RA Erhard, Dr. Datenschutz)</w:t>
      </w:r>
      <w:r w:rsidRPr="00880A06">
        <w:rPr>
          <w:rFonts w:cs="Calibri"/>
          <w:color w:val="000000"/>
          <w:kern w:val="0"/>
          <w:sz w:val="28"/>
          <w:szCs w:val="28"/>
        </w:rPr>
        <w:br/>
        <w:t>&gt; Notebook: NEU anlegen (nicht das R6-Wasserschaden-Notebook!)</w:t>
      </w:r>
    </w:p>
    <w:p w14:paraId="2F811741"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w:t>
      </w:r>
    </w:p>
    <w:p w14:paraId="0665DEFA"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Prompt</w:t>
      </w:r>
    </w:p>
    <w:p w14:paraId="0D27BF71"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Du bist Lena Voss, forensische Ermittlerin. Du hast 96 Signale, 7 Schemata und ein Ermittlungsprotokoll mit 8 Phasen entwickelt — alles an EINEM Fall (WSM, Bau/Sanierung). Jetzt musst du verstehen: Wie ordnet sich dein System in internationale Standards ein? Und wie bewerten die deutschen Straftatbestaende deine Befunde?</w:t>
      </w:r>
    </w:p>
    <w:p w14:paraId="48E80261"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Ich brauche keine Zusammenfassungen — ich brauche Abgleiche und Luecken. Wenn eine Quelle die Antwort nicht liefert, sag das. Erfinde nichts.</w:t>
      </w:r>
    </w:p>
    <w:p w14:paraId="07B02326"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BLOCK 1: COSO + ACFE — Wo stehe ich? (Quellen: COSO, ACFE Tree, ACFE Tools)</w:t>
      </w:r>
    </w:p>
    <w:p w14:paraId="0B412F77" w14:textId="77777777" w:rsidR="00880A06" w:rsidRPr="00880A06" w:rsidRDefault="00880A06" w:rsidP="00880A06">
      <w:pPr>
        <w:numPr>
          <w:ilvl w:val="1"/>
          <w:numId w:val="13"/>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Was ist das </w:t>
      </w:r>
      <w:r w:rsidRPr="00880A06">
        <w:rPr>
          <w:rFonts w:cs="Calibri"/>
          <w:b/>
          <w:bCs/>
          <w:color w:val="000000"/>
          <w:kern w:val="0"/>
          <w:sz w:val="28"/>
          <w:szCs w:val="28"/>
        </w:rPr>
        <w:t>COSO Internal Control Framework</w:t>
      </w:r>
      <w:r w:rsidRPr="00880A06">
        <w:rPr>
          <w:rFonts w:cs="Calibri"/>
          <w:color w:val="000000"/>
          <w:kern w:val="0"/>
          <w:sz w:val="28"/>
          <w:szCs w:val="28"/>
        </w:rPr>
        <w:t>? Welche 5 Komponenten hat es? Welche davon deckt mein Signal-Katalog ab, welche nicht?</w:t>
      </w:r>
    </w:p>
    <w:p w14:paraId="5EC6A6B8" w14:textId="77777777" w:rsidR="00880A06" w:rsidRPr="00880A06" w:rsidRDefault="00880A06" w:rsidP="00880A06">
      <w:pPr>
        <w:numPr>
          <w:ilvl w:val="1"/>
          <w:numId w:val="13"/>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Was ist der </w:t>
      </w:r>
      <w:r w:rsidRPr="00880A06">
        <w:rPr>
          <w:rFonts w:cs="Calibri"/>
          <w:b/>
          <w:bCs/>
          <w:color w:val="000000"/>
          <w:kern w:val="0"/>
          <w:sz w:val="28"/>
          <w:szCs w:val="28"/>
        </w:rPr>
        <w:t>ACFE Fraud Tree</w:t>
      </w:r>
      <w:r w:rsidRPr="00880A06">
        <w:rPr>
          <w:rFonts w:cs="Calibri"/>
          <w:color w:val="000000"/>
          <w:kern w:val="0"/>
          <w:sz w:val="28"/>
          <w:szCs w:val="28"/>
        </w:rPr>
        <w:t>? Wie viele Betrugsarten listet er? Welche Zweige sind fuer Bau/Sanierung am relevantesten?</w:t>
      </w:r>
    </w:p>
    <w:p w14:paraId="05F6CD6B" w14:textId="77777777" w:rsidR="00880A06" w:rsidRPr="00880A06" w:rsidRDefault="00880A06" w:rsidP="00880A06">
      <w:pPr>
        <w:numPr>
          <w:ilvl w:val="1"/>
          <w:numId w:val="13"/>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Meine 7 Schemata (KB=Kickback, AU=Auftragsumleitung, RE=Rechnungsmanipulation, SF=Scheinfirma, KE=Kontaktexfiltration, VB=Versicherungsbetrug, KV=Kontrollversagen) — wie mappen sie auf den ACFE Fraud Tree? Fehlt ein Zweig?</w:t>
      </w:r>
    </w:p>
    <w:p w14:paraId="68333CEA" w14:textId="77777777" w:rsidR="00880A06" w:rsidRPr="00880A06" w:rsidRDefault="00880A06" w:rsidP="00880A06">
      <w:pPr>
        <w:numPr>
          <w:ilvl w:val="1"/>
          <w:numId w:val="13"/>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COSO empfiehlt </w:t>
      </w:r>
      <w:r w:rsidRPr="00880A06">
        <w:rPr>
          <w:rFonts w:cs="Calibri"/>
          <w:b/>
          <w:bCs/>
          <w:color w:val="000000"/>
          <w:kern w:val="0"/>
          <w:sz w:val="28"/>
          <w:szCs w:val="28"/>
        </w:rPr>
        <w:t>Fraud Risk Assessment</w:t>
      </w:r>
      <w:r w:rsidRPr="00880A06">
        <w:rPr>
          <w:rFonts w:cs="Calibri"/>
          <w:color w:val="000000"/>
          <w:kern w:val="0"/>
          <w:sz w:val="28"/>
          <w:szCs w:val="28"/>
        </w:rPr>
        <w:t xml:space="preserve"> — wie unterscheidet sich das von meinem Predication Gate (2 unique SPQQD-Typen + 1 ALARM = volle Ermittlung)? Strenger oder lockerer?</w:t>
      </w:r>
    </w:p>
    <w:p w14:paraId="10B4BBF2" w14:textId="77777777" w:rsidR="00880A06" w:rsidRPr="00880A06" w:rsidRDefault="00880A06" w:rsidP="00880A06">
      <w:pPr>
        <w:numPr>
          <w:ilvl w:val="1"/>
          <w:numId w:val="13"/>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Was sagt COSO zu </w:t>
      </w:r>
      <w:r w:rsidRPr="00880A06">
        <w:rPr>
          <w:rFonts w:cs="Calibri"/>
          <w:b/>
          <w:bCs/>
          <w:color w:val="000000"/>
          <w:kern w:val="0"/>
          <w:sz w:val="28"/>
          <w:szCs w:val="28"/>
        </w:rPr>
        <w:t>proaktiver</w:t>
      </w:r>
      <w:r w:rsidRPr="00880A06">
        <w:rPr>
          <w:rFonts w:cs="Calibri"/>
          <w:color w:val="000000"/>
          <w:kern w:val="0"/>
          <w:sz w:val="28"/>
          <w:szCs w:val="28"/>
        </w:rPr>
        <w:t xml:space="preserve"> vs. </w:t>
      </w:r>
      <w:r w:rsidRPr="00880A06">
        <w:rPr>
          <w:rFonts w:cs="Calibri"/>
          <w:b/>
          <w:bCs/>
          <w:color w:val="000000"/>
          <w:kern w:val="0"/>
          <w:sz w:val="28"/>
          <w:szCs w:val="28"/>
        </w:rPr>
        <w:t>reaktiver</w:t>
      </w:r>
      <w:r w:rsidRPr="00880A06">
        <w:rPr>
          <w:rFonts w:cs="Calibri"/>
          <w:color w:val="000000"/>
          <w:kern w:val="0"/>
          <w:sz w:val="28"/>
          <w:szCs w:val="28"/>
        </w:rPr>
        <w:t xml:space="preserve"> Betrugserkennung? Wo stehe ich mit 96 Signalen?</w:t>
      </w:r>
    </w:p>
    <w:p w14:paraId="009AEBB7"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BLOCK 2: Transparency International — Bau-Korruption (Quelle: TI Construction)</w:t>
      </w:r>
    </w:p>
    <w:p w14:paraId="525172D1" w14:textId="77777777" w:rsidR="00880A06" w:rsidRPr="00880A06" w:rsidRDefault="00880A06" w:rsidP="00880A06">
      <w:pPr>
        <w:numPr>
          <w:ilvl w:val="1"/>
          <w:numId w:val="14"/>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Welche </w:t>
      </w:r>
      <w:r w:rsidRPr="00880A06">
        <w:rPr>
          <w:rFonts w:cs="Calibri"/>
          <w:b/>
          <w:bCs/>
          <w:color w:val="000000"/>
          <w:kern w:val="0"/>
          <w:sz w:val="28"/>
          <w:szCs w:val="28"/>
        </w:rPr>
        <w:t>Korruptionsmuster</w:t>
      </w:r>
      <w:r w:rsidRPr="00880A06">
        <w:rPr>
          <w:rFonts w:cs="Calibri"/>
          <w:color w:val="000000"/>
          <w:kern w:val="0"/>
          <w:sz w:val="28"/>
          <w:szCs w:val="28"/>
        </w:rPr>
        <w:t xml:space="preserve"> im Bausektor dokumentiert Transparency International?</w:t>
      </w:r>
    </w:p>
    <w:p w14:paraId="19AEA3A1" w14:textId="77777777" w:rsidR="00880A06" w:rsidRPr="00880A06" w:rsidRDefault="00880A06" w:rsidP="00880A06">
      <w:pPr>
        <w:numPr>
          <w:ilvl w:val="1"/>
          <w:numId w:val="14"/>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lastRenderedPageBreak/>
        <w:t xml:space="preserve">Wie unterscheidet sich Korruption bei </w:t>
      </w:r>
      <w:r w:rsidRPr="00880A06">
        <w:rPr>
          <w:rFonts w:cs="Calibri"/>
          <w:b/>
          <w:bCs/>
          <w:color w:val="000000"/>
          <w:kern w:val="0"/>
          <w:sz w:val="28"/>
          <w:szCs w:val="28"/>
        </w:rPr>
        <w:t>oeffentlichen</w:t>
      </w:r>
      <w:r w:rsidRPr="00880A06">
        <w:rPr>
          <w:rFonts w:cs="Calibri"/>
          <w:color w:val="000000"/>
          <w:kern w:val="0"/>
          <w:sz w:val="28"/>
          <w:szCs w:val="28"/>
        </w:rPr>
        <w:t xml:space="preserve"> vs. </w:t>
      </w:r>
      <w:r w:rsidRPr="00880A06">
        <w:rPr>
          <w:rFonts w:cs="Calibri"/>
          <w:b/>
          <w:bCs/>
          <w:color w:val="000000"/>
          <w:kern w:val="0"/>
          <w:sz w:val="28"/>
          <w:szCs w:val="28"/>
        </w:rPr>
        <w:t>privaten</w:t>
      </w:r>
      <w:r w:rsidRPr="00880A06">
        <w:rPr>
          <w:rFonts w:cs="Calibri"/>
          <w:color w:val="000000"/>
          <w:kern w:val="0"/>
          <w:sz w:val="28"/>
          <w:szCs w:val="28"/>
        </w:rPr>
        <w:t xml:space="preserve"> Bauauftraegen? Mein Fall ist privat (Versicherung).</w:t>
      </w:r>
    </w:p>
    <w:p w14:paraId="5BC8256A" w14:textId="77777777" w:rsidR="00880A06" w:rsidRPr="00880A06" w:rsidRDefault="00880A06" w:rsidP="00880A06">
      <w:pPr>
        <w:numPr>
          <w:ilvl w:val="1"/>
          <w:numId w:val="14"/>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Gibt es </w:t>
      </w:r>
      <w:r w:rsidRPr="00880A06">
        <w:rPr>
          <w:rFonts w:cs="Calibri"/>
          <w:b/>
          <w:bCs/>
          <w:color w:val="000000"/>
          <w:kern w:val="0"/>
          <w:sz w:val="28"/>
          <w:szCs w:val="28"/>
        </w:rPr>
        <w:t>branchenspezifische Red Flags</w:t>
      </w:r>
      <w:r w:rsidRPr="00880A06">
        <w:rPr>
          <w:rFonts w:cs="Calibri"/>
          <w:color w:val="000000"/>
          <w:kern w:val="0"/>
          <w:sz w:val="28"/>
          <w:szCs w:val="28"/>
        </w:rPr>
        <w:t xml:space="preserve"> die ich noch nicht habe?</w:t>
      </w:r>
    </w:p>
    <w:p w14:paraId="285029C1" w14:textId="77777777" w:rsidR="00880A06" w:rsidRPr="00880A06" w:rsidRDefault="00880A06" w:rsidP="00880A06">
      <w:pPr>
        <w:numPr>
          <w:ilvl w:val="1"/>
          <w:numId w:val="14"/>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Was empfiehlt TI als </w:t>
      </w:r>
      <w:r w:rsidRPr="00880A06">
        <w:rPr>
          <w:rFonts w:cs="Calibri"/>
          <w:b/>
          <w:bCs/>
          <w:color w:val="000000"/>
          <w:kern w:val="0"/>
          <w:sz w:val="28"/>
          <w:szCs w:val="28"/>
        </w:rPr>
        <w:t>Praeventionsmassnahmen</w:t>
      </w:r>
      <w:r w:rsidRPr="00880A06">
        <w:rPr>
          <w:rFonts w:cs="Calibri"/>
          <w:color w:val="000000"/>
          <w:kern w:val="0"/>
          <w:sz w:val="28"/>
          <w:szCs w:val="28"/>
        </w:rPr>
        <w:t xml:space="preserve"> fuer den Bausektor?</w:t>
      </w:r>
    </w:p>
    <w:p w14:paraId="265E8737"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BLOCK 3: Rechtliche Einordnung (Quellen: §263, §299, GeschGehG, RA Plutte, RA Erhard, Dr. Datenschutz)</w:t>
      </w:r>
    </w:p>
    <w:p w14:paraId="13760201" w14:textId="77777777" w:rsidR="00880A06" w:rsidRPr="00880A06" w:rsidRDefault="00880A06" w:rsidP="00880A06">
      <w:pPr>
        <w:numPr>
          <w:ilvl w:val="1"/>
          <w:numId w:val="15"/>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b/>
          <w:bCs/>
          <w:color w:val="000000"/>
          <w:kern w:val="0"/>
          <w:sz w:val="28"/>
          <w:szCs w:val="28"/>
        </w:rPr>
        <w:t>§263 StGB Betrug:</w:t>
      </w:r>
      <w:r w:rsidRPr="00880A06">
        <w:rPr>
          <w:rFonts w:cs="Calibri"/>
          <w:color w:val="000000"/>
          <w:kern w:val="0"/>
          <w:sz w:val="28"/>
          <w:szCs w:val="28"/>
        </w:rPr>
        <w:t xml:space="preserve"> Welche Tatbestandsmerkmale muessen erfuellt sein? Konkretes Beispiel: Bierau rechnet ueber WSM ab, leitet Auftraege an befreundete Subs — ist das §263?</w:t>
      </w:r>
    </w:p>
    <w:p w14:paraId="31379C9B" w14:textId="77777777" w:rsidR="00880A06" w:rsidRPr="00880A06" w:rsidRDefault="00880A06" w:rsidP="00880A06">
      <w:pPr>
        <w:numPr>
          <w:ilvl w:val="1"/>
          <w:numId w:val="15"/>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b/>
          <w:bCs/>
          <w:color w:val="000000"/>
          <w:kern w:val="0"/>
          <w:sz w:val="28"/>
          <w:szCs w:val="28"/>
        </w:rPr>
        <w:t>§299 StGB Bestechlichkeit im geschaeftlichen Verkehr:</w:t>
      </w:r>
      <w:r w:rsidRPr="00880A06">
        <w:rPr>
          <w:rFonts w:cs="Calibri"/>
          <w:color w:val="000000"/>
          <w:kern w:val="0"/>
          <w:sz w:val="28"/>
          <w:szCs w:val="28"/>
        </w:rPr>
        <w:t xml:space="preserve"> Welche Voraussetzungen gelten? Reicht es wenn ein Angestellter (Bierau) Auftraege an einen Sub (Gade/Schulz) vergibt und dafuer Naturalien erhaelt?</w:t>
      </w:r>
    </w:p>
    <w:p w14:paraId="3D7FC1A6" w14:textId="77777777" w:rsidR="00880A06" w:rsidRPr="00880A06" w:rsidRDefault="00880A06" w:rsidP="00880A06">
      <w:pPr>
        <w:numPr>
          <w:ilvl w:val="1"/>
          <w:numId w:val="15"/>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b/>
          <w:bCs/>
          <w:color w:val="000000"/>
          <w:kern w:val="0"/>
          <w:sz w:val="28"/>
          <w:szCs w:val="28"/>
        </w:rPr>
        <w:t>GeschGehG §23:</w:t>
      </w:r>
      <w:r w:rsidRPr="00880A06">
        <w:rPr>
          <w:rFonts w:cs="Calibri"/>
          <w:color w:val="000000"/>
          <w:kern w:val="0"/>
          <w:sz w:val="28"/>
          <w:szCs w:val="28"/>
        </w:rPr>
        <w:t xml:space="preserve"> Was ist ein Geschaeftsgeheimnis? Sind Kundenkontaktdaten (Versicherer-Schadennummern, VN-Kontakte) geschuetzt? Was sind die Rechtsfolgen bei Verletzung?</w:t>
      </w:r>
    </w:p>
    <w:p w14:paraId="6934C0E3" w14:textId="77777777" w:rsidR="00880A06" w:rsidRPr="00880A06" w:rsidRDefault="00880A06" w:rsidP="00880A06">
      <w:pPr>
        <w:numPr>
          <w:ilvl w:val="1"/>
          <w:numId w:val="15"/>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b/>
          <w:bCs/>
          <w:color w:val="000000"/>
          <w:kern w:val="0"/>
          <w:sz w:val="28"/>
          <w:szCs w:val="28"/>
        </w:rPr>
        <w:t>Kontaktexfiltration als Straftat:</w:t>
      </w:r>
      <w:r w:rsidRPr="00880A06">
        <w:rPr>
          <w:rFonts w:cs="Calibri"/>
          <w:color w:val="000000"/>
          <w:kern w:val="0"/>
          <w:sz w:val="28"/>
          <w:szCs w:val="28"/>
        </w:rPr>
        <w:t xml:space="preserve"> Wenn ausscheidende Mitarbeiter per BCC 90+ Kundenkontakte an private Adressen weiterleiten — welche Paragraphen greifen?</w:t>
      </w:r>
    </w:p>
    <w:p w14:paraId="27D8BE86" w14:textId="77777777" w:rsidR="00880A06" w:rsidRPr="00880A06" w:rsidRDefault="00880A06" w:rsidP="00880A06">
      <w:pPr>
        <w:numPr>
          <w:ilvl w:val="1"/>
          <w:numId w:val="15"/>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Welche </w:t>
      </w:r>
      <w:r w:rsidRPr="00880A06">
        <w:rPr>
          <w:rFonts w:cs="Calibri"/>
          <w:b/>
          <w:bCs/>
          <w:color w:val="000000"/>
          <w:kern w:val="0"/>
          <w:sz w:val="28"/>
          <w:szCs w:val="28"/>
        </w:rPr>
        <w:t>Beweisanforderungen</w:t>
      </w:r>
      <w:r w:rsidRPr="00880A06">
        <w:rPr>
          <w:rFonts w:cs="Calibri"/>
          <w:color w:val="000000"/>
          <w:kern w:val="0"/>
          <w:sz w:val="28"/>
          <w:szCs w:val="28"/>
        </w:rPr>
        <w:t xml:space="preserve"> stellt die StA bei Wirtschaftsbetrug? Reichen Indizien oder braucht man direkte Beweise?</w:t>
      </w:r>
    </w:p>
    <w:p w14:paraId="4111F066" w14:textId="77777777" w:rsidR="00880A06" w:rsidRPr="00880A06" w:rsidRDefault="00880A06" w:rsidP="00880A06">
      <w:pPr>
        <w:numPr>
          <w:ilvl w:val="1"/>
          <w:numId w:val="15"/>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Was unterscheidet </w:t>
      </w:r>
      <w:r w:rsidRPr="00880A06">
        <w:rPr>
          <w:rFonts w:cs="Calibri"/>
          <w:b/>
          <w:bCs/>
          <w:color w:val="000000"/>
          <w:kern w:val="0"/>
          <w:sz w:val="28"/>
          <w:szCs w:val="28"/>
        </w:rPr>
        <w:t>Untreue (§266)</w:t>
      </w:r>
      <w:r w:rsidRPr="00880A06">
        <w:rPr>
          <w:rFonts w:cs="Calibri"/>
          <w:color w:val="000000"/>
          <w:kern w:val="0"/>
          <w:sz w:val="28"/>
          <w:szCs w:val="28"/>
        </w:rPr>
        <w:t xml:space="preserve"> von </w:t>
      </w:r>
      <w:r w:rsidRPr="00880A06">
        <w:rPr>
          <w:rFonts w:cs="Calibri"/>
          <w:b/>
          <w:bCs/>
          <w:color w:val="000000"/>
          <w:kern w:val="0"/>
          <w:sz w:val="28"/>
          <w:szCs w:val="28"/>
        </w:rPr>
        <w:t>Betrug (§263)</w:t>
      </w:r>
      <w:r w:rsidRPr="00880A06">
        <w:rPr>
          <w:rFonts w:cs="Calibri"/>
          <w:color w:val="000000"/>
          <w:kern w:val="0"/>
          <w:sz w:val="28"/>
          <w:szCs w:val="28"/>
        </w:rPr>
        <w:t xml:space="preserve"> in einem Arbeitnehmer-Szenario?</w:t>
      </w:r>
    </w:p>
    <w:p w14:paraId="68404B19"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BLOCK 4: KI + Digitale Beweissicherung (Quellen: BSI DER.2.2, KPMG KI, Wiley Benford)</w:t>
      </w:r>
    </w:p>
    <w:p w14:paraId="058DFA51" w14:textId="77777777" w:rsidR="00880A06" w:rsidRPr="00880A06" w:rsidRDefault="00880A06" w:rsidP="00880A06">
      <w:pPr>
        <w:numPr>
          <w:ilvl w:val="1"/>
          <w:numId w:val="16"/>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Was sagt BSI DER.2.2 zur </w:t>
      </w:r>
      <w:r w:rsidRPr="00880A06">
        <w:rPr>
          <w:rFonts w:cs="Calibri"/>
          <w:b/>
          <w:bCs/>
          <w:color w:val="000000"/>
          <w:kern w:val="0"/>
          <w:sz w:val="28"/>
          <w:szCs w:val="28"/>
        </w:rPr>
        <w:t>digitalen Beweissicherung</w:t>
      </w:r>
      <w:r w:rsidRPr="00880A06">
        <w:rPr>
          <w:rFonts w:cs="Calibri"/>
          <w:color w:val="000000"/>
          <w:kern w:val="0"/>
          <w:sz w:val="28"/>
          <w:szCs w:val="28"/>
        </w:rPr>
        <w:t>? Welche Standards muss ich einhalten damit Beweise vor Gericht halten?</w:t>
      </w:r>
    </w:p>
    <w:p w14:paraId="32C8AF0C" w14:textId="77777777" w:rsidR="00880A06" w:rsidRPr="00880A06" w:rsidRDefault="00880A06" w:rsidP="00880A06">
      <w:pPr>
        <w:numPr>
          <w:ilvl w:val="1"/>
          <w:numId w:val="16"/>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Welche </w:t>
      </w:r>
      <w:r w:rsidRPr="00880A06">
        <w:rPr>
          <w:rFonts w:cs="Calibri"/>
          <w:b/>
          <w:bCs/>
          <w:color w:val="000000"/>
          <w:kern w:val="0"/>
          <w:sz w:val="28"/>
          <w:szCs w:val="28"/>
        </w:rPr>
        <w:t>KI-Ansaetze</w:t>
      </w:r>
      <w:r w:rsidRPr="00880A06">
        <w:rPr>
          <w:rFonts w:cs="Calibri"/>
          <w:color w:val="000000"/>
          <w:kern w:val="0"/>
          <w:sz w:val="28"/>
          <w:szCs w:val="28"/>
        </w:rPr>
        <w:t xml:space="preserve"> zur Betrugserkennung beschreibt KPMG? Was funktioniert in der Praxis?</w:t>
      </w:r>
    </w:p>
    <w:p w14:paraId="57F02CFC" w14:textId="77777777" w:rsidR="00880A06" w:rsidRPr="00880A06" w:rsidRDefault="00880A06" w:rsidP="00880A06">
      <w:pPr>
        <w:numPr>
          <w:ilvl w:val="1"/>
          <w:numId w:val="16"/>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Wo ist KI </w:t>
      </w:r>
      <w:r w:rsidRPr="00880A06">
        <w:rPr>
          <w:rFonts w:cs="Calibri"/>
          <w:b/>
          <w:bCs/>
          <w:color w:val="000000"/>
          <w:kern w:val="0"/>
          <w:sz w:val="28"/>
          <w:szCs w:val="28"/>
        </w:rPr>
        <w:t>besser</w:t>
      </w:r>
      <w:r w:rsidRPr="00880A06">
        <w:rPr>
          <w:rFonts w:cs="Calibri"/>
          <w:color w:val="000000"/>
          <w:kern w:val="0"/>
          <w:sz w:val="28"/>
          <w:szCs w:val="28"/>
        </w:rPr>
        <w:t xml:space="preserve"> als menschliche Ermittler, wo </w:t>
      </w:r>
      <w:r w:rsidRPr="00880A06">
        <w:rPr>
          <w:rFonts w:cs="Calibri"/>
          <w:b/>
          <w:bCs/>
          <w:color w:val="000000"/>
          <w:kern w:val="0"/>
          <w:sz w:val="28"/>
          <w:szCs w:val="28"/>
        </w:rPr>
        <w:t>schlechter</w:t>
      </w:r>
      <w:r w:rsidRPr="00880A06">
        <w:rPr>
          <w:rFonts w:cs="Calibri"/>
          <w:color w:val="000000"/>
          <w:kern w:val="0"/>
          <w:sz w:val="28"/>
          <w:szCs w:val="28"/>
        </w:rPr>
        <w:t>? Wie positioniere ich mich als Hybrid (KI-Signale + menschliche Ermittlung)?</w:t>
      </w:r>
    </w:p>
    <w:p w14:paraId="33FAA048" w14:textId="77777777" w:rsidR="00880A06" w:rsidRPr="00880A06" w:rsidRDefault="00880A06" w:rsidP="00880A06">
      <w:pPr>
        <w:numPr>
          <w:ilvl w:val="1"/>
          <w:numId w:val="16"/>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Benford's Law: Fuer welche </w:t>
      </w:r>
      <w:r w:rsidRPr="00880A06">
        <w:rPr>
          <w:rFonts w:cs="Calibri"/>
          <w:b/>
          <w:bCs/>
          <w:color w:val="000000"/>
          <w:kern w:val="0"/>
          <w:sz w:val="28"/>
          <w:szCs w:val="28"/>
        </w:rPr>
        <w:t>Datensaetze</w:t>
      </w:r>
      <w:r w:rsidRPr="00880A06">
        <w:rPr>
          <w:rFonts w:cs="Calibri"/>
          <w:color w:val="000000"/>
          <w:kern w:val="0"/>
          <w:sz w:val="28"/>
          <w:szCs w:val="28"/>
        </w:rPr>
        <w:t xml:space="preserve"> funktioniert es, fuer welche nicht? Mein Ergebnis: Bei WSM nicht diskriminierend wegen kleiner N und Fixkosten. Bestaetigt die Quelle das?</w:t>
      </w:r>
    </w:p>
    <w:p w14:paraId="30E3B0BD" w14:textId="77777777" w:rsidR="00880A06" w:rsidRPr="00880A06" w:rsidRDefault="00880A06" w:rsidP="00880A06">
      <w:pPr>
        <w:numPr>
          <w:ilvl w:val="1"/>
          <w:numId w:val="16"/>
        </w:numPr>
        <w:tabs>
          <w:tab w:val="clear" w:pos="0"/>
        </w:tabs>
        <w:autoSpaceDE w:val="0"/>
        <w:autoSpaceDN w:val="0"/>
        <w:adjustRightInd w:val="0"/>
        <w:spacing w:after="0" w:line="240" w:lineRule="auto"/>
        <w:ind w:left="400" w:hanging="400"/>
        <w:rPr>
          <w:rFonts w:cs="Calibri"/>
          <w:color w:val="000000"/>
          <w:kern w:val="0"/>
          <w:sz w:val="28"/>
          <w:szCs w:val="28"/>
        </w:rPr>
      </w:pPr>
      <w:r w:rsidRPr="00880A06">
        <w:rPr>
          <w:rFonts w:cs="Calibri"/>
          <w:color w:val="000000"/>
          <w:kern w:val="0"/>
          <w:sz w:val="28"/>
          <w:szCs w:val="28"/>
        </w:rPr>
        <w:t xml:space="preserve">Welche </w:t>
      </w:r>
      <w:r w:rsidRPr="00880A06">
        <w:rPr>
          <w:rFonts w:cs="Calibri"/>
          <w:b/>
          <w:bCs/>
          <w:color w:val="000000"/>
          <w:kern w:val="0"/>
          <w:sz w:val="28"/>
          <w:szCs w:val="28"/>
        </w:rPr>
        <w:t>Zertifizierungen</w:t>
      </w:r>
      <w:r w:rsidRPr="00880A06">
        <w:rPr>
          <w:rFonts w:cs="Calibri"/>
          <w:color w:val="000000"/>
          <w:kern w:val="0"/>
          <w:sz w:val="28"/>
          <w:szCs w:val="28"/>
        </w:rPr>
        <w:t xml:space="preserve"> gibt es fuer forensische Ermittler? (CFE, CIA, CISA) — was decken sie ab?</w:t>
      </w:r>
    </w:p>
    <w:p w14:paraId="2A00208C"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w:t>
      </w:r>
    </w:p>
    <w:p w14:paraId="61ED6530" w14:textId="77777777"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Erwartetes Ergebnis</w:t>
      </w:r>
    </w:p>
    <w:p w14:paraId="78527BA9" w14:textId="4417C81B" w:rsidR="00880A06" w:rsidRPr="00880A06" w:rsidRDefault="00880A06" w:rsidP="00880A06">
      <w:pPr>
        <w:autoSpaceDE w:val="0"/>
        <w:autoSpaceDN w:val="0"/>
        <w:adjustRightInd w:val="0"/>
        <w:spacing w:after="0" w:line="240" w:lineRule="auto"/>
        <w:rPr>
          <w:rFonts w:cs="Calibri"/>
          <w:color w:val="000000"/>
          <w:kern w:val="0"/>
          <w:sz w:val="28"/>
          <w:szCs w:val="28"/>
        </w:rPr>
      </w:pPr>
      <w:r w:rsidRPr="00880A06">
        <w:rPr>
          <w:rFonts w:cs="Calibri"/>
          <w:color w:val="000000"/>
          <w:kern w:val="0"/>
          <w:sz w:val="28"/>
          <w:szCs w:val="28"/>
        </w:rPr>
        <w:t>→ WISSEN/compliance_frameworks.md (COSO↔Lena Mapping, ACFE↔Schema Mapping, Luecken)</w:t>
      </w:r>
      <w:r w:rsidRPr="00880A06">
        <w:rPr>
          <w:rFonts w:cs="Calibri"/>
          <w:color w:val="000000"/>
          <w:kern w:val="0"/>
          <w:sz w:val="28"/>
          <w:szCs w:val="28"/>
        </w:rPr>
        <w:br/>
        <w:t xml:space="preserve">→ WISSEN/rechtliche_einordnung.md (§263, §266, §299, GeschGehG auf </w:t>
      </w:r>
      <w:r w:rsidRPr="00880A06">
        <w:rPr>
          <w:rFonts w:cs="Calibri"/>
          <w:color w:val="000000"/>
          <w:kern w:val="0"/>
          <w:sz w:val="28"/>
          <w:szCs w:val="28"/>
        </w:rPr>
        <w:lastRenderedPageBreak/>
        <w:t>WSM-Befunde gemappt)</w:t>
      </w:r>
      <w:r w:rsidRPr="00880A06">
        <w:rPr>
          <w:rFonts w:cs="Calibri"/>
          <w:color w:val="000000"/>
          <w:kern w:val="0"/>
          <w:sz w:val="28"/>
          <w:szCs w:val="28"/>
        </w:rPr>
        <w:br/>
        <w:t>→ Neue Signale aus ACFE-Zweigen die noch nicht abgedeckt sind</w:t>
      </w:r>
      <w:r w:rsidRPr="00880A06">
        <w:rPr>
          <w:rFonts w:cs="Calibri"/>
          <w:color w:val="000000"/>
          <w:kern w:val="0"/>
          <w:sz w:val="28"/>
          <w:szCs w:val="28"/>
        </w:rPr>
        <w:br/>
        <w:t>→ Beweissicherungs-Standards (BSI) fuer METHODIK/</w:t>
      </w:r>
      <w:r w:rsidRPr="00880A06">
        <w:rPr>
          <w:rFonts w:cs="Calibri"/>
          <w:color w:val="000000"/>
          <w:kern w:val="0"/>
          <w:sz w:val="28"/>
          <w:szCs w:val="28"/>
        </w:rPr>
        <w:br/>
        <w:t>→ Branchentransfer-Logik: Welche Signale sind universell, welche WSM-spezifisch?</w:t>
      </w:r>
      <w:r>
        <w:rPr>
          <w:rFonts w:cs="Calibri"/>
          <w:color w:val="000000"/>
          <w:kern w:val="0"/>
          <w:sz w:val="28"/>
          <w:szCs w:val="28"/>
        </w:rPr>
        <w:t xml:space="preserve"> ***</w:t>
      </w:r>
    </w:p>
    <w:p w14:paraId="48FF4FD5" w14:textId="77777777" w:rsidR="00880A06" w:rsidRDefault="00880A06" w:rsidP="00880A06">
      <w:pPr>
        <w:rPr>
          <w:sz w:val="28"/>
          <w:szCs w:val="28"/>
        </w:rPr>
      </w:pPr>
    </w:p>
    <w:p w14:paraId="6AEFAE5E" w14:textId="77777777" w:rsidR="00880A06" w:rsidRDefault="00880A06" w:rsidP="00880A06">
      <w:pPr>
        <w:rPr>
          <w:sz w:val="28"/>
          <w:szCs w:val="28"/>
        </w:rPr>
      </w:pPr>
    </w:p>
    <w:p w14:paraId="10EEE7E6" w14:textId="24EE7448" w:rsidR="00385911" w:rsidRPr="00880A06" w:rsidRDefault="00880A06" w:rsidP="00880A06">
      <w:pPr>
        <w:rPr>
          <w:sz w:val="28"/>
          <w:szCs w:val="28"/>
        </w:rPr>
      </w:pPr>
      <w:r w:rsidRPr="00880A06">
        <w:rPr>
          <w:sz w:val="28"/>
          <w:szCs w:val="28"/>
        </w:rPr>
        <w:t>Ergebnis:</w:t>
      </w:r>
    </w:p>
    <w:p w14:paraId="05DA3BE2" w14:textId="77777777" w:rsidR="00880A06" w:rsidRPr="00880A06" w:rsidRDefault="00880A06" w:rsidP="00880A06">
      <w:pPr>
        <w:rPr>
          <w:sz w:val="28"/>
          <w:szCs w:val="28"/>
        </w:rPr>
      </w:pPr>
    </w:p>
    <w:p w14:paraId="2E9F6571" w14:textId="77777777" w:rsidR="00880A06" w:rsidRPr="00880A06" w:rsidRDefault="00880A06" w:rsidP="00880A06">
      <w:pPr>
        <w:rPr>
          <w:sz w:val="28"/>
          <w:szCs w:val="28"/>
        </w:rPr>
      </w:pPr>
      <w:r w:rsidRPr="00880A06">
        <w:rPr>
          <w:sz w:val="28"/>
          <w:szCs w:val="28"/>
        </w:rPr>
        <w:t xml:space="preserve">Die mir aktuell zur Verfügung gestellten Quellen enthalten </w:t>
      </w:r>
      <w:r w:rsidRPr="00880A06">
        <w:rPr>
          <w:b/>
          <w:bCs/>
          <w:sz w:val="28"/>
          <w:szCs w:val="28"/>
        </w:rPr>
        <w:t>keine</w:t>
      </w:r>
      <w:r w:rsidRPr="00880A06">
        <w:rPr>
          <w:sz w:val="28"/>
          <w:szCs w:val="28"/>
        </w:rPr>
        <w:t xml:space="preserve"> Informationen zu den in deiner vorherigen Anfrage gestellten spezifischen Wasserschaden-Fragen (wie Trocknungskosten, Gerätetage, VdS-Richtlinien oder Benchmarks). Da ich nichts erfinden darf, kann ich diese Daten nicht liefern.</w:t>
      </w:r>
    </w:p>
    <w:p w14:paraId="34035C98" w14:textId="77777777" w:rsidR="00880A06" w:rsidRPr="00880A06" w:rsidRDefault="00880A06" w:rsidP="00880A06">
      <w:pPr>
        <w:rPr>
          <w:sz w:val="28"/>
          <w:szCs w:val="28"/>
        </w:rPr>
      </w:pPr>
      <w:r w:rsidRPr="00880A06">
        <w:rPr>
          <w:sz w:val="28"/>
          <w:szCs w:val="28"/>
        </w:rPr>
        <w:t xml:space="preserve">Die Dokumente passen jedoch exakt zu den Anforderungen aus deinem System-Briefing </w:t>
      </w:r>
      <w:r w:rsidRPr="00880A06">
        <w:rPr>
          <w:b/>
          <w:bCs/>
          <w:sz w:val="28"/>
          <w:szCs w:val="28"/>
        </w:rPr>
        <w:t>„Runde 7: Compliance + Recht + KI-Forensik“</w:t>
      </w:r>
      <w:r w:rsidRPr="00880A06">
        <w:rPr>
          <w:sz w:val="28"/>
          <w:szCs w:val="28"/>
        </w:rPr>
        <w:t>. Ich beantworte dir daher nun alle Fragen aus diesem Themenkomplex detailliert auf Basis der bereitgestellten Dokumente:</w:t>
      </w:r>
    </w:p>
    <w:p w14:paraId="00040412" w14:textId="77777777" w:rsidR="00880A06" w:rsidRPr="00880A06" w:rsidRDefault="00880A06" w:rsidP="00880A06">
      <w:pPr>
        <w:rPr>
          <w:b/>
          <w:bCs/>
          <w:sz w:val="28"/>
          <w:szCs w:val="28"/>
        </w:rPr>
      </w:pPr>
      <w:r w:rsidRPr="00880A06">
        <w:rPr>
          <w:b/>
          <w:bCs/>
          <w:sz w:val="28"/>
          <w:szCs w:val="28"/>
        </w:rPr>
        <w:t>WISSEN/compliance_frameworks.md (COSO, ACFE, TI)</w:t>
      </w:r>
    </w:p>
    <w:p w14:paraId="351CD9A4" w14:textId="77777777" w:rsidR="00880A06" w:rsidRPr="00880A06" w:rsidRDefault="00880A06" w:rsidP="00880A06">
      <w:pPr>
        <w:rPr>
          <w:sz w:val="28"/>
          <w:szCs w:val="28"/>
        </w:rPr>
      </w:pPr>
      <w:r w:rsidRPr="00880A06">
        <w:rPr>
          <w:b/>
          <w:bCs/>
          <w:sz w:val="28"/>
          <w:szCs w:val="28"/>
        </w:rPr>
        <w:t>COSO Internal Control Framework &amp; Fraud Risk Assessment</w:t>
      </w:r>
      <w:r w:rsidRPr="00880A06">
        <w:rPr>
          <w:sz w:val="28"/>
          <w:szCs w:val="28"/>
        </w:rPr>
        <w:t xml:space="preserve"> Das COSO Internal Control Framework wurde ursprünglich 1992 veröffentlicht und 2013 um 17 zusätzliche Prinzipien erweitert. Prinzip 8 adressiert spezifisch die Bedeutung, das Betrugsrisiko bei der Bewertung von Unternehmenszielen zu berücksichtigen. COSO legt großen Wert auf "Fraud Deterrence" (Betrugsprävention) und empfiehlt ein ganzheitliches "Fraud Risk Management Program", um Betrugsrisiken proaktiv zu steuern,. </w:t>
      </w:r>
      <w:r w:rsidRPr="00880A06">
        <w:rPr>
          <w:i/>
          <w:iCs/>
          <w:sz w:val="28"/>
          <w:szCs w:val="28"/>
        </w:rPr>
        <w:t>Lücke:</w:t>
      </w:r>
      <w:r w:rsidRPr="00880A06">
        <w:rPr>
          <w:sz w:val="28"/>
          <w:szCs w:val="28"/>
        </w:rPr>
        <w:t xml:space="preserve"> Die genauen fünf Komponenten des COSO-Frameworks werden in den Quellen nicht explizit aufgelistet. </w:t>
      </w:r>
      <w:r w:rsidRPr="00880A06">
        <w:rPr>
          <w:i/>
          <w:iCs/>
          <w:sz w:val="28"/>
          <w:szCs w:val="28"/>
        </w:rPr>
        <w:t>Unterschied zu deinem Predication Gate:</w:t>
      </w:r>
      <w:r w:rsidRPr="00880A06">
        <w:rPr>
          <w:sz w:val="28"/>
          <w:szCs w:val="28"/>
        </w:rPr>
        <w:t xml:space="preserve"> Dein Predication Gate ist eher reaktiv, da es nach bestimmten Auslösern (Signalen) eine volle Ermittlung anstößt. COSO fordert hingegen einen präventiven Ansatz, bei dem Datenanalytik (Data Analytics) zur kontinuierlichen Erkennung und Abschreckung eingesetzt wird. Mit deinen 96 Signalen deckst du den proaktiven Data-Analytics-Teil eines solchen COSO-konformen Programms hervorragend ab.</w:t>
      </w:r>
    </w:p>
    <w:p w14:paraId="2ED63DC6" w14:textId="77777777" w:rsidR="00880A06" w:rsidRPr="00880A06" w:rsidRDefault="00880A06" w:rsidP="00880A06">
      <w:pPr>
        <w:rPr>
          <w:sz w:val="28"/>
          <w:szCs w:val="28"/>
        </w:rPr>
      </w:pPr>
      <w:r w:rsidRPr="00880A06">
        <w:rPr>
          <w:b/>
          <w:bCs/>
          <w:sz w:val="28"/>
          <w:szCs w:val="28"/>
        </w:rPr>
        <w:lastRenderedPageBreak/>
        <w:t>ACFE Fraud Tree &amp; Schema Mapping</w:t>
      </w:r>
      <w:r w:rsidRPr="00880A06">
        <w:rPr>
          <w:sz w:val="28"/>
          <w:szCs w:val="28"/>
        </w:rPr>
        <w:t xml:space="preserve"> Der ACFE Fraud Tree klassifiziert beruflichen Betrug in drei Hauptäste: </w:t>
      </w:r>
      <w:r w:rsidRPr="00880A06">
        <w:rPr>
          <w:i/>
          <w:iCs/>
          <w:sz w:val="28"/>
          <w:szCs w:val="28"/>
        </w:rPr>
        <w:t>Corruption</w:t>
      </w:r>
      <w:r w:rsidRPr="00880A06">
        <w:rPr>
          <w:sz w:val="28"/>
          <w:szCs w:val="28"/>
        </w:rPr>
        <w:t xml:space="preserve"> (Korruption, 48 % der Fälle), </w:t>
      </w:r>
      <w:r w:rsidRPr="00880A06">
        <w:rPr>
          <w:i/>
          <w:iCs/>
          <w:sz w:val="28"/>
          <w:szCs w:val="28"/>
        </w:rPr>
        <w:t>Asset Misappropriation</w:t>
      </w:r>
      <w:r w:rsidRPr="00880A06">
        <w:rPr>
          <w:sz w:val="28"/>
          <w:szCs w:val="28"/>
        </w:rPr>
        <w:t xml:space="preserve"> (Vermögensaneignung, 89 % der Fälle) und </w:t>
      </w:r>
      <w:r w:rsidRPr="00880A06">
        <w:rPr>
          <w:i/>
          <w:iCs/>
          <w:sz w:val="28"/>
          <w:szCs w:val="28"/>
        </w:rPr>
        <w:t>Financial Statement Fraud</w:t>
      </w:r>
      <w:r w:rsidRPr="00880A06">
        <w:rPr>
          <w:sz w:val="28"/>
          <w:szCs w:val="28"/>
        </w:rPr>
        <w:t xml:space="preserve"> (Bilanzbetrug, 5 % der Fälle),.</w:t>
      </w:r>
    </w:p>
    <w:p w14:paraId="6C0CAA62" w14:textId="77777777" w:rsidR="00880A06" w:rsidRPr="00880A06" w:rsidRDefault="00880A06" w:rsidP="00880A06">
      <w:pPr>
        <w:rPr>
          <w:sz w:val="28"/>
          <w:szCs w:val="28"/>
        </w:rPr>
      </w:pPr>
      <w:r w:rsidRPr="00880A06">
        <w:rPr>
          <w:sz w:val="28"/>
          <w:szCs w:val="28"/>
        </w:rPr>
        <w:t>Deine 7 WSM-Schemata mappen sich wie folgt auf den ACFE Fraud Tree:</w:t>
      </w:r>
    </w:p>
    <w:p w14:paraId="3CF164CE" w14:textId="77777777" w:rsidR="00880A06" w:rsidRPr="00880A06" w:rsidRDefault="00880A06" w:rsidP="00880A06">
      <w:pPr>
        <w:numPr>
          <w:ilvl w:val="0"/>
          <w:numId w:val="10"/>
        </w:numPr>
        <w:rPr>
          <w:sz w:val="28"/>
          <w:szCs w:val="28"/>
        </w:rPr>
      </w:pPr>
      <w:r w:rsidRPr="00880A06">
        <w:rPr>
          <w:b/>
          <w:bCs/>
          <w:sz w:val="28"/>
          <w:szCs w:val="28"/>
        </w:rPr>
        <w:t>KB (Kickback):</w:t>
      </w:r>
      <w:r w:rsidRPr="00880A06">
        <w:rPr>
          <w:sz w:val="28"/>
          <w:szCs w:val="28"/>
        </w:rPr>
        <w:t xml:space="preserve"> Fällt unter </w:t>
      </w:r>
      <w:r w:rsidRPr="00880A06">
        <w:rPr>
          <w:i/>
          <w:iCs/>
          <w:sz w:val="28"/>
          <w:szCs w:val="28"/>
        </w:rPr>
        <w:t>Corruption -&gt; Bribery -&gt; Invoice Kickbacks</w:t>
      </w:r>
      <w:r w:rsidRPr="00880A06">
        <w:rPr>
          <w:sz w:val="28"/>
          <w:szCs w:val="28"/>
        </w:rPr>
        <w:t>.</w:t>
      </w:r>
    </w:p>
    <w:p w14:paraId="13B503FC" w14:textId="77777777" w:rsidR="00880A06" w:rsidRPr="00880A06" w:rsidRDefault="00880A06" w:rsidP="00880A06">
      <w:pPr>
        <w:numPr>
          <w:ilvl w:val="0"/>
          <w:numId w:val="10"/>
        </w:numPr>
        <w:rPr>
          <w:sz w:val="28"/>
          <w:szCs w:val="28"/>
        </w:rPr>
      </w:pPr>
      <w:r w:rsidRPr="00880A06">
        <w:rPr>
          <w:b/>
          <w:bCs/>
          <w:sz w:val="28"/>
          <w:szCs w:val="28"/>
        </w:rPr>
        <w:t>AU (Auftragsumleitung):</w:t>
      </w:r>
      <w:r w:rsidRPr="00880A06">
        <w:rPr>
          <w:sz w:val="28"/>
          <w:szCs w:val="28"/>
        </w:rPr>
        <w:t xml:space="preserve"> Fällt unter </w:t>
      </w:r>
      <w:r w:rsidRPr="00880A06">
        <w:rPr>
          <w:i/>
          <w:iCs/>
          <w:sz w:val="28"/>
          <w:szCs w:val="28"/>
        </w:rPr>
        <w:t>Corruption -&gt; Conflicts of Interest -&gt; Purchasing Schemes</w:t>
      </w:r>
      <w:r w:rsidRPr="00880A06">
        <w:rPr>
          <w:sz w:val="28"/>
          <w:szCs w:val="28"/>
        </w:rPr>
        <w:t>.</w:t>
      </w:r>
    </w:p>
    <w:p w14:paraId="2266A986" w14:textId="77777777" w:rsidR="00880A06" w:rsidRPr="00880A06" w:rsidRDefault="00880A06" w:rsidP="00880A06">
      <w:pPr>
        <w:numPr>
          <w:ilvl w:val="0"/>
          <w:numId w:val="10"/>
        </w:numPr>
        <w:rPr>
          <w:sz w:val="28"/>
          <w:szCs w:val="28"/>
        </w:rPr>
      </w:pPr>
      <w:r w:rsidRPr="00880A06">
        <w:rPr>
          <w:b/>
          <w:bCs/>
          <w:sz w:val="28"/>
          <w:szCs w:val="28"/>
        </w:rPr>
        <w:t>RE (Rechnungsmanipulation):</w:t>
      </w:r>
      <w:r w:rsidRPr="00880A06">
        <w:rPr>
          <w:sz w:val="28"/>
          <w:szCs w:val="28"/>
        </w:rPr>
        <w:t xml:space="preserve"> Fällt unter </w:t>
      </w:r>
      <w:r w:rsidRPr="00880A06">
        <w:rPr>
          <w:i/>
          <w:iCs/>
          <w:sz w:val="28"/>
          <w:szCs w:val="28"/>
        </w:rPr>
        <w:t>Asset Misappropriation -&gt; Fraudulent Disbursements -&gt; Billing Schemes</w:t>
      </w:r>
      <w:r w:rsidRPr="00880A06">
        <w:rPr>
          <w:sz w:val="28"/>
          <w:szCs w:val="28"/>
        </w:rPr>
        <w:t>,.</w:t>
      </w:r>
    </w:p>
    <w:p w14:paraId="57823E63" w14:textId="77777777" w:rsidR="00880A06" w:rsidRPr="00880A06" w:rsidRDefault="00880A06" w:rsidP="00880A06">
      <w:pPr>
        <w:numPr>
          <w:ilvl w:val="0"/>
          <w:numId w:val="10"/>
        </w:numPr>
        <w:rPr>
          <w:sz w:val="28"/>
          <w:szCs w:val="28"/>
        </w:rPr>
      </w:pPr>
      <w:r w:rsidRPr="00880A06">
        <w:rPr>
          <w:b/>
          <w:bCs/>
          <w:sz w:val="28"/>
          <w:szCs w:val="28"/>
        </w:rPr>
        <w:t>SF (Scheinfirma):</w:t>
      </w:r>
      <w:r w:rsidRPr="00880A06">
        <w:rPr>
          <w:sz w:val="28"/>
          <w:szCs w:val="28"/>
        </w:rPr>
        <w:t xml:space="preserve"> Fällt unter </w:t>
      </w:r>
      <w:r w:rsidRPr="00880A06">
        <w:rPr>
          <w:i/>
          <w:iCs/>
          <w:sz w:val="28"/>
          <w:szCs w:val="28"/>
        </w:rPr>
        <w:t>Asset Misappropriation -&gt; Fraudulent Disbursements -&gt; Billing Schemes -&gt; Shell Company</w:t>
      </w:r>
      <w:r w:rsidRPr="00880A06">
        <w:rPr>
          <w:sz w:val="28"/>
          <w:szCs w:val="28"/>
        </w:rPr>
        <w:t>,.</w:t>
      </w:r>
    </w:p>
    <w:p w14:paraId="3AA04B75" w14:textId="77777777" w:rsidR="00880A06" w:rsidRPr="00880A06" w:rsidRDefault="00880A06" w:rsidP="00880A06">
      <w:pPr>
        <w:numPr>
          <w:ilvl w:val="0"/>
          <w:numId w:val="10"/>
        </w:numPr>
        <w:rPr>
          <w:sz w:val="28"/>
          <w:szCs w:val="28"/>
        </w:rPr>
      </w:pPr>
      <w:r w:rsidRPr="00880A06">
        <w:rPr>
          <w:b/>
          <w:bCs/>
          <w:sz w:val="28"/>
          <w:szCs w:val="28"/>
        </w:rPr>
        <w:t>KE (Kontaktexfiltration):</w:t>
      </w:r>
      <w:r w:rsidRPr="00880A06">
        <w:rPr>
          <w:sz w:val="28"/>
          <w:szCs w:val="28"/>
        </w:rPr>
        <w:t xml:space="preserve"> Fällt unter </w:t>
      </w:r>
      <w:r w:rsidRPr="00880A06">
        <w:rPr>
          <w:i/>
          <w:iCs/>
          <w:sz w:val="28"/>
          <w:szCs w:val="28"/>
        </w:rPr>
        <w:t>Asset Misappropriation -&gt; Noncash Misappropriation</w:t>
      </w:r>
      <w:r w:rsidRPr="00880A06">
        <w:rPr>
          <w:sz w:val="28"/>
          <w:szCs w:val="28"/>
        </w:rPr>
        <w:t xml:space="preserve"> (Diebstahl oder Missbrauch von vertraulichen Kundeninformationen).</w:t>
      </w:r>
    </w:p>
    <w:p w14:paraId="327BAC22" w14:textId="77777777" w:rsidR="00880A06" w:rsidRPr="00880A06" w:rsidRDefault="00880A06" w:rsidP="00880A06">
      <w:pPr>
        <w:numPr>
          <w:ilvl w:val="0"/>
          <w:numId w:val="10"/>
        </w:numPr>
        <w:rPr>
          <w:sz w:val="28"/>
          <w:szCs w:val="28"/>
        </w:rPr>
      </w:pPr>
      <w:r w:rsidRPr="00880A06">
        <w:rPr>
          <w:i/>
          <w:iCs/>
          <w:sz w:val="28"/>
          <w:szCs w:val="28"/>
        </w:rPr>
        <w:t>Lücke:</w:t>
      </w:r>
      <w:r w:rsidRPr="00880A06">
        <w:rPr>
          <w:sz w:val="28"/>
          <w:szCs w:val="28"/>
        </w:rPr>
        <w:t xml:space="preserve"> Bilanzbetrug (Financial Statement Fraud) wird von deinen Schemata aktuell nicht abgedeckt. Kontrollversagen (KV) ist kein eigenes Betrugsschema im ACFE-Baum, sondern eine Schwachstelle im internen Kontrollsystem (siehe COSO Prinzip 8).</w:t>
      </w:r>
    </w:p>
    <w:p w14:paraId="4D876C04" w14:textId="77777777" w:rsidR="00880A06" w:rsidRPr="00880A06" w:rsidRDefault="00880A06" w:rsidP="00880A06">
      <w:pPr>
        <w:rPr>
          <w:sz w:val="28"/>
          <w:szCs w:val="28"/>
        </w:rPr>
      </w:pPr>
      <w:r w:rsidRPr="00880A06">
        <w:rPr>
          <w:b/>
          <w:bCs/>
          <w:sz w:val="28"/>
          <w:szCs w:val="28"/>
        </w:rPr>
        <w:t>Transparency International (TI) - Bau-Korruption</w:t>
      </w:r>
      <w:r w:rsidRPr="00880A06">
        <w:rPr>
          <w:sz w:val="28"/>
          <w:szCs w:val="28"/>
        </w:rPr>
        <w:t xml:space="preserve"> Transparency International identifiziert den Bausektor als stark korruptionsgefährdet. Typische dokumentierte Korruptionsmuster umfassen die Manipulation der öffentlichen Auftragsvergabe (Public Procurement) sowie Spekulation und Interessenkonflikte bei der Bauplanung und Zoneneinteilung auf lokaler Ebene,. Als Präventionsmaßnahmen empfiehlt TI den Aufbau breiter Anti-Korruptions-Koalitionen, wie beispielsweise die "Construction Sector Transparency Initiative (CoST)". </w:t>
      </w:r>
      <w:r w:rsidRPr="00880A06">
        <w:rPr>
          <w:i/>
          <w:iCs/>
          <w:sz w:val="28"/>
          <w:szCs w:val="28"/>
        </w:rPr>
        <w:t>Lücke:</w:t>
      </w:r>
      <w:r w:rsidRPr="00880A06">
        <w:rPr>
          <w:sz w:val="28"/>
          <w:szCs w:val="28"/>
        </w:rPr>
        <w:t xml:space="preserve"> Eine detaillierte Abgrenzung oder branchenspezifische Red Flags für private Versicherungsaufträge vs. öffentliche Aufträge ist im TI-Material nicht aufgeführt.</w:t>
      </w:r>
    </w:p>
    <w:p w14:paraId="5F47C339" w14:textId="77777777" w:rsidR="00880A06" w:rsidRPr="00880A06" w:rsidRDefault="00880A06" w:rsidP="00880A06">
      <w:pPr>
        <w:rPr>
          <w:sz w:val="28"/>
          <w:szCs w:val="28"/>
        </w:rPr>
      </w:pPr>
      <w:r w:rsidRPr="00880A06">
        <w:rPr>
          <w:sz w:val="28"/>
          <w:szCs w:val="28"/>
        </w:rPr>
        <w:pict w14:anchorId="31799F89">
          <v:rect id="_x0000_i1043" style="width:0;height:1.5pt" o:hralign="center" o:hrstd="t" o:hr="t" fillcolor="#a0a0a0" stroked="f"/>
        </w:pict>
      </w:r>
    </w:p>
    <w:p w14:paraId="5F193F84" w14:textId="77777777" w:rsidR="00880A06" w:rsidRPr="00880A06" w:rsidRDefault="00880A06" w:rsidP="00880A06">
      <w:pPr>
        <w:rPr>
          <w:b/>
          <w:bCs/>
          <w:sz w:val="28"/>
          <w:szCs w:val="28"/>
        </w:rPr>
      </w:pPr>
      <w:r w:rsidRPr="00880A06">
        <w:rPr>
          <w:b/>
          <w:bCs/>
          <w:sz w:val="28"/>
          <w:szCs w:val="28"/>
        </w:rPr>
        <w:t>WISSEN/rechtliche_einordnung.md (Rechtliche Bewertung der WSM-Befunde)</w:t>
      </w:r>
    </w:p>
    <w:p w14:paraId="66A694AD" w14:textId="77777777" w:rsidR="00880A06" w:rsidRPr="00880A06" w:rsidRDefault="00880A06" w:rsidP="00880A06">
      <w:pPr>
        <w:rPr>
          <w:sz w:val="28"/>
          <w:szCs w:val="28"/>
        </w:rPr>
      </w:pPr>
      <w:r w:rsidRPr="00880A06">
        <w:rPr>
          <w:b/>
          <w:bCs/>
          <w:sz w:val="28"/>
          <w:szCs w:val="28"/>
        </w:rPr>
        <w:lastRenderedPageBreak/>
        <w:t>§ 263 StGB (Betrug)</w:t>
      </w:r>
      <w:r w:rsidRPr="00880A06">
        <w:rPr>
          <w:sz w:val="28"/>
          <w:szCs w:val="28"/>
        </w:rPr>
        <w:t xml:space="preserve"> Für einen Betrug muss eine Täuschung über Tatsachen (z. B. durch falsche Prognosen) vorliegen, die zu einer Vermögensverfügung und letztlich zu einem Vermögensschaden führt,. Bei der Schadensbestimmung greift oft das "Prinzip der Gesamtsaldierung",. </w:t>
      </w:r>
      <w:r w:rsidRPr="00880A06">
        <w:rPr>
          <w:i/>
          <w:iCs/>
          <w:sz w:val="28"/>
          <w:szCs w:val="28"/>
        </w:rPr>
        <w:t>Beispiel WSM:</w:t>
      </w:r>
      <w:r w:rsidRPr="00880A06">
        <w:rPr>
          <w:sz w:val="28"/>
          <w:szCs w:val="28"/>
        </w:rPr>
        <w:t xml:space="preserve"> Wenn Bierau über sein Unternehmen abrechnet und dafür fiktive oder nicht erbrachte Leistungen in Rechnung stellt, erfüllt dies § 263 StGB.</w:t>
      </w:r>
    </w:p>
    <w:p w14:paraId="1FA29601" w14:textId="77777777" w:rsidR="00880A06" w:rsidRPr="00880A06" w:rsidRDefault="00880A06" w:rsidP="00880A06">
      <w:pPr>
        <w:rPr>
          <w:sz w:val="28"/>
          <w:szCs w:val="28"/>
        </w:rPr>
      </w:pPr>
      <w:r w:rsidRPr="00880A06">
        <w:rPr>
          <w:b/>
          <w:bCs/>
          <w:sz w:val="28"/>
          <w:szCs w:val="28"/>
        </w:rPr>
        <w:t>§ 299 StGB (Bestechlichkeit und Bestechung im geschäftlichen Verkehr)</w:t>
      </w:r>
      <w:r w:rsidRPr="00880A06">
        <w:rPr>
          <w:sz w:val="28"/>
          <w:szCs w:val="28"/>
        </w:rPr>
        <w:t xml:space="preserve"> Dieser Paragraph greift, wenn ein Angestellter oder Beauftragter im geschäftlichen Verkehr einen Vorteil für sich oder Dritte fordert oder annimmt, um entweder einen anderen Wettbewerber unlauter zu bevorzugen (§ 299 Abs. 1 Nr. 1) oder um unter Verletzung seiner Pflichten gegenüber dem Unternehmen eine Handlung vorzunehmen oder zu unterlassen (§ 299 Abs. 1 Nr. 2). </w:t>
      </w:r>
      <w:r w:rsidRPr="00880A06">
        <w:rPr>
          <w:i/>
          <w:iCs/>
          <w:sz w:val="28"/>
          <w:szCs w:val="28"/>
        </w:rPr>
        <w:t>Beispiel WSM:</w:t>
      </w:r>
      <w:r w:rsidRPr="00880A06">
        <w:rPr>
          <w:sz w:val="28"/>
          <w:szCs w:val="28"/>
        </w:rPr>
        <w:t xml:space="preserve"> Verlangt oder erhält Bierau von Subunternehmern (Gade/Schulz) Naturalien dafür, dass er ihnen Aufträge zuteilt, verletzt er seine arbeitsvertraglichen Pflichten und verwirklicht den Tatbestand des § 299 Abs. 1 Nr. 2 StGB.</w:t>
      </w:r>
    </w:p>
    <w:p w14:paraId="3B616015" w14:textId="77777777" w:rsidR="00880A06" w:rsidRPr="00880A06" w:rsidRDefault="00880A06" w:rsidP="00880A06">
      <w:pPr>
        <w:rPr>
          <w:sz w:val="28"/>
          <w:szCs w:val="28"/>
        </w:rPr>
      </w:pPr>
      <w:r w:rsidRPr="00880A06">
        <w:rPr>
          <w:b/>
          <w:bCs/>
          <w:sz w:val="28"/>
          <w:szCs w:val="28"/>
        </w:rPr>
        <w:t>GeschGehG (Schutz von Geschäftsgeheimnissen)</w:t>
      </w:r>
    </w:p>
    <w:p w14:paraId="21AFD68E" w14:textId="77777777" w:rsidR="00880A06" w:rsidRPr="00880A06" w:rsidRDefault="00880A06" w:rsidP="00880A06">
      <w:pPr>
        <w:numPr>
          <w:ilvl w:val="0"/>
          <w:numId w:val="11"/>
        </w:numPr>
        <w:rPr>
          <w:sz w:val="28"/>
          <w:szCs w:val="28"/>
        </w:rPr>
      </w:pPr>
      <w:r w:rsidRPr="00880A06">
        <w:rPr>
          <w:i/>
          <w:iCs/>
          <w:sz w:val="28"/>
          <w:szCs w:val="28"/>
        </w:rPr>
        <w:t>Was ist geschützt?</w:t>
      </w:r>
      <w:r w:rsidRPr="00880A06">
        <w:rPr>
          <w:sz w:val="28"/>
          <w:szCs w:val="28"/>
        </w:rPr>
        <w:t xml:space="preserve"> Ein Geschäftsgeheimnis ist eine Information, die nicht allgemein bekannt ist, von wirtschaftlichem Wert ist und durch angemessene Geheimhaltungsmaßnahmen (z. B. Need-to-Know-Prinzip, Verschlüsselung) geschützt wird (§ 2 GeschGehG),,. Dazu gehören auch Preiskalkulationen, Geschäftsinformationen und spezifisch zusammengestellte Kundenlisten,.</w:t>
      </w:r>
    </w:p>
    <w:p w14:paraId="71C6BFA7" w14:textId="77777777" w:rsidR="00880A06" w:rsidRPr="00880A06" w:rsidRDefault="00880A06" w:rsidP="00880A06">
      <w:pPr>
        <w:numPr>
          <w:ilvl w:val="0"/>
          <w:numId w:val="11"/>
        </w:numPr>
        <w:rPr>
          <w:sz w:val="28"/>
          <w:szCs w:val="28"/>
        </w:rPr>
      </w:pPr>
      <w:r w:rsidRPr="00880A06">
        <w:rPr>
          <w:i/>
          <w:iCs/>
          <w:sz w:val="28"/>
          <w:szCs w:val="28"/>
        </w:rPr>
        <w:t>Kontaktexfiltration per BCC:</w:t>
      </w:r>
      <w:r w:rsidRPr="00880A06">
        <w:rPr>
          <w:sz w:val="28"/>
          <w:szCs w:val="28"/>
        </w:rPr>
        <w:t xml:space="preserve"> Wenn ausscheidende Mitarbeiter Kundenkontakte wissentlich an private Adressen weiterleiten, handelt es sich um unbefugte Offenlegung ("Geheimnisverrat"). Gemäß § 23 Abs. 1 Nr. 3 GeschGehG wird mit Freiheitsstrafe bis zu drei Jahren oder Geldstrafe bestraft, wer als Beschäftigter ein ihm anvertrautes Geschäftsgeheimnis unbefugt offenlegt,,.</w:t>
      </w:r>
    </w:p>
    <w:p w14:paraId="70B3611A" w14:textId="77777777" w:rsidR="00880A06" w:rsidRPr="00880A06" w:rsidRDefault="00880A06" w:rsidP="00880A06">
      <w:pPr>
        <w:numPr>
          <w:ilvl w:val="0"/>
          <w:numId w:val="11"/>
        </w:numPr>
        <w:rPr>
          <w:sz w:val="28"/>
          <w:szCs w:val="28"/>
        </w:rPr>
      </w:pPr>
      <w:r w:rsidRPr="00880A06">
        <w:rPr>
          <w:i/>
          <w:iCs/>
          <w:sz w:val="28"/>
          <w:szCs w:val="28"/>
        </w:rPr>
        <w:t>Lücke:</w:t>
      </w:r>
      <w:r w:rsidRPr="00880A06">
        <w:rPr>
          <w:sz w:val="28"/>
          <w:szCs w:val="28"/>
        </w:rPr>
        <w:t xml:space="preserve"> Die genauen Beweisanforderungen der Staatsanwaltschaft (Indizien vs. direkte Beweise) sowie die exakte Abgrenzung zwischen Untreue (§ 266) und Betrug (§ 263) werden in den Quellen nicht behandelt.</w:t>
      </w:r>
    </w:p>
    <w:p w14:paraId="2CA110F7" w14:textId="77777777" w:rsidR="00880A06" w:rsidRPr="00880A06" w:rsidRDefault="00880A06" w:rsidP="00880A06">
      <w:pPr>
        <w:rPr>
          <w:sz w:val="28"/>
          <w:szCs w:val="28"/>
        </w:rPr>
      </w:pPr>
      <w:r w:rsidRPr="00880A06">
        <w:rPr>
          <w:sz w:val="28"/>
          <w:szCs w:val="28"/>
        </w:rPr>
        <w:lastRenderedPageBreak/>
        <w:pict w14:anchorId="21EA2523">
          <v:rect id="_x0000_i1044" style="width:0;height:1.5pt" o:hralign="center" o:hrstd="t" o:hr="t" fillcolor="#a0a0a0" stroked="f"/>
        </w:pict>
      </w:r>
    </w:p>
    <w:p w14:paraId="3A14AA93" w14:textId="77777777" w:rsidR="00880A06" w:rsidRPr="00880A06" w:rsidRDefault="00880A06" w:rsidP="00880A06">
      <w:pPr>
        <w:rPr>
          <w:b/>
          <w:bCs/>
          <w:sz w:val="28"/>
          <w:szCs w:val="28"/>
        </w:rPr>
      </w:pPr>
      <w:r w:rsidRPr="00880A06">
        <w:rPr>
          <w:b/>
          <w:bCs/>
          <w:sz w:val="28"/>
          <w:szCs w:val="28"/>
        </w:rPr>
        <w:t>METHODIK/digitale_beweissicherung_und_ki.md</w:t>
      </w:r>
    </w:p>
    <w:p w14:paraId="45E090E2" w14:textId="77777777" w:rsidR="00880A06" w:rsidRPr="00880A06" w:rsidRDefault="00880A06" w:rsidP="00880A06">
      <w:pPr>
        <w:rPr>
          <w:sz w:val="28"/>
          <w:szCs w:val="28"/>
        </w:rPr>
      </w:pPr>
      <w:r w:rsidRPr="00880A06">
        <w:rPr>
          <w:b/>
          <w:bCs/>
          <w:sz w:val="28"/>
          <w:szCs w:val="28"/>
        </w:rPr>
        <w:t>BSI-Standards zur Beweissicherung</w:t>
      </w:r>
      <w:r w:rsidRPr="00880A06">
        <w:rPr>
          <w:sz w:val="28"/>
          <w:szCs w:val="28"/>
        </w:rPr>
        <w:t xml:space="preserve"> Das BSI beschreibt im Baustein DER.2.2 "Vorsorge für die IT-Forensik", welche Maßnahmen notwendig sind, um forensische Untersuchungen überhaupt erst zu ermöglichen. Der Standard regelt, wie die Spurensicherung vorzubereiten und rechtssicher durchzuführen ist; dies gilt auch verbindlich für externe Forensik-Dienstleister, was vertraglich abzusichern ist.</w:t>
      </w:r>
    </w:p>
    <w:p w14:paraId="532312E1" w14:textId="77777777" w:rsidR="00880A06" w:rsidRPr="00880A06" w:rsidRDefault="00880A06" w:rsidP="00880A06">
      <w:pPr>
        <w:rPr>
          <w:sz w:val="28"/>
          <w:szCs w:val="28"/>
        </w:rPr>
      </w:pPr>
      <w:r w:rsidRPr="00880A06">
        <w:rPr>
          <w:b/>
          <w:bCs/>
          <w:sz w:val="28"/>
          <w:szCs w:val="28"/>
        </w:rPr>
        <w:t>KPMG - KI in der Betrugserkennung</w:t>
      </w:r>
    </w:p>
    <w:p w14:paraId="03982758" w14:textId="77777777" w:rsidR="00880A06" w:rsidRPr="00880A06" w:rsidRDefault="00880A06" w:rsidP="00880A06">
      <w:pPr>
        <w:numPr>
          <w:ilvl w:val="0"/>
          <w:numId w:val="12"/>
        </w:numPr>
        <w:rPr>
          <w:sz w:val="28"/>
          <w:szCs w:val="28"/>
        </w:rPr>
      </w:pPr>
      <w:r w:rsidRPr="00880A06">
        <w:rPr>
          <w:i/>
          <w:iCs/>
          <w:sz w:val="28"/>
          <w:szCs w:val="28"/>
        </w:rPr>
        <w:t>Vorgehen der Täter:</w:t>
      </w:r>
      <w:r w:rsidRPr="00880A06">
        <w:rPr>
          <w:sz w:val="28"/>
          <w:szCs w:val="28"/>
        </w:rPr>
        <w:t xml:space="preserve"> Wirtschaftskriminelle nutzen Generative KI für "Social Engineering 2.0" (Deepfakes, Stimmimitation für CEO-Fraud), die Erstellung kontextbezogener Falschinformationen zur Marktmanipulation sowie zur massenhaften Erstellung täuschend echter Fake-Dokumente und Kundenidentitäten,,.</w:t>
      </w:r>
    </w:p>
    <w:p w14:paraId="7F2A1A21" w14:textId="77777777" w:rsidR="00880A06" w:rsidRPr="00880A06" w:rsidRDefault="00880A06" w:rsidP="00880A06">
      <w:pPr>
        <w:numPr>
          <w:ilvl w:val="0"/>
          <w:numId w:val="12"/>
        </w:numPr>
        <w:rPr>
          <w:sz w:val="28"/>
          <w:szCs w:val="28"/>
        </w:rPr>
      </w:pPr>
      <w:r w:rsidRPr="00880A06">
        <w:rPr>
          <w:i/>
          <w:iCs/>
          <w:sz w:val="28"/>
          <w:szCs w:val="28"/>
        </w:rPr>
        <w:t>Dein hybrider Ansatz (KI-Signale + Mensch):</w:t>
      </w:r>
      <w:r w:rsidRPr="00880A06">
        <w:rPr>
          <w:sz w:val="28"/>
          <w:szCs w:val="28"/>
        </w:rPr>
        <w:t xml:space="preserve"> Du positionierst dich laut KPMG-Logik ideal: KI-basierte Systeme können Anomalien im Datenverkehr und Kommunikationsverhalten erkennen sowie komplexe Identitäts- und Dokumentenprüfungen vornehmen. Dein menschliches Ermittlungsprotokoll ordnet diese KI-Signale dann forensisch ein.</w:t>
      </w:r>
    </w:p>
    <w:p w14:paraId="0D3968EA" w14:textId="77777777" w:rsidR="00880A06" w:rsidRPr="00880A06" w:rsidRDefault="00880A06" w:rsidP="00880A06">
      <w:pPr>
        <w:rPr>
          <w:sz w:val="28"/>
          <w:szCs w:val="28"/>
        </w:rPr>
      </w:pPr>
      <w:r w:rsidRPr="00880A06">
        <w:rPr>
          <w:b/>
          <w:bCs/>
          <w:sz w:val="28"/>
          <w:szCs w:val="28"/>
        </w:rPr>
        <w:t>Benford's Law</w:t>
      </w:r>
      <w:r w:rsidRPr="00880A06">
        <w:rPr>
          <w:sz w:val="28"/>
          <w:szCs w:val="28"/>
        </w:rPr>
        <w:t xml:space="preserve"> Benford's Law besagt, dass bei tabellarischen Daten die vorderen Ziffern 1 und 2 deutlich häufiger auftreten, was in der forensischen Buchprüfung zur Erkennung von Betrug, Fehlern und fiktiven Abrechnungen genutzt wird. </w:t>
      </w:r>
      <w:r w:rsidRPr="00880A06">
        <w:rPr>
          <w:i/>
          <w:iCs/>
          <w:sz w:val="28"/>
          <w:szCs w:val="28"/>
        </w:rPr>
        <w:t>Lücke:</w:t>
      </w:r>
      <w:r w:rsidRPr="00880A06">
        <w:rPr>
          <w:sz w:val="28"/>
          <w:szCs w:val="28"/>
        </w:rPr>
        <w:t xml:space="preserve"> Die Quelle bestätigt deine spezifische These (dass es bei WSM-Rechnungen aufgrund kleiner Datenmengen und fester Kostensätze nicht gut funktioniert) nicht direkt. Laut Quelle gilt Benford's Law sehr universell für "all tabulated data" wie Unternehmensausgaben und Steuererklärungen.</w:t>
      </w:r>
    </w:p>
    <w:p w14:paraId="6E7A9579" w14:textId="77777777" w:rsidR="00880A06" w:rsidRPr="00880A06" w:rsidRDefault="00880A06" w:rsidP="00880A06">
      <w:pPr>
        <w:rPr>
          <w:sz w:val="28"/>
          <w:szCs w:val="28"/>
        </w:rPr>
      </w:pPr>
      <w:r w:rsidRPr="00880A06">
        <w:rPr>
          <w:b/>
          <w:bCs/>
          <w:sz w:val="28"/>
          <w:szCs w:val="28"/>
        </w:rPr>
        <w:t>Zertifizierungen</w:t>
      </w:r>
      <w:r w:rsidRPr="00880A06">
        <w:rPr>
          <w:sz w:val="28"/>
          <w:szCs w:val="28"/>
        </w:rPr>
        <w:t xml:space="preserve"> Die Dokumente erwähnen das "Fraud Risk Management Cert Program" der ACFE,. </w:t>
      </w:r>
      <w:r w:rsidRPr="00880A06">
        <w:rPr>
          <w:i/>
          <w:iCs/>
          <w:sz w:val="28"/>
          <w:szCs w:val="28"/>
        </w:rPr>
        <w:t>Lücke:</w:t>
      </w:r>
      <w:r w:rsidRPr="00880A06">
        <w:rPr>
          <w:sz w:val="28"/>
          <w:szCs w:val="28"/>
        </w:rPr>
        <w:t xml:space="preserve"> Die Inhalte der Zertifikate CIA und CISA werden in den bereitgestellten Quellen nicht beschrieben.</w:t>
      </w:r>
    </w:p>
    <w:p w14:paraId="1EE5862A" w14:textId="77777777" w:rsidR="00880A06" w:rsidRPr="00880A06" w:rsidRDefault="00880A06" w:rsidP="00880A06"/>
    <w:sectPr w:rsidR="00880A06" w:rsidRPr="00880A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6"/>
      <w:numFmt w:val="decimal"/>
      <w:lvlText w:val="%1."/>
      <w:lvlJc w:val="left"/>
      <w:pPr>
        <w:tabs>
          <w:tab w:val="num" w:pos="0"/>
        </w:tabs>
      </w:pPr>
    </w:lvl>
    <w:lvl w:ilvl="1" w:tplc="FFFFFFFF">
      <w:start w:val="6"/>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0"/>
      <w:numFmt w:val="decimal"/>
      <w:lvlText w:val="%1."/>
      <w:lvlJc w:val="left"/>
      <w:pPr>
        <w:tabs>
          <w:tab w:val="num" w:pos="0"/>
        </w:tabs>
      </w:pPr>
    </w:lvl>
    <w:lvl w:ilvl="1" w:tplc="FFFFFFFF">
      <w:start w:val="10"/>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6"/>
      <w:numFmt w:val="decimal"/>
      <w:lvlText w:val="%1."/>
      <w:lvlJc w:val="left"/>
      <w:pPr>
        <w:tabs>
          <w:tab w:val="num" w:pos="0"/>
        </w:tabs>
      </w:pPr>
    </w:lvl>
    <w:lvl w:ilvl="1" w:tplc="FFFFFFFF">
      <w:start w:val="16"/>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AE05226"/>
    <w:multiLevelType w:val="multilevel"/>
    <w:tmpl w:val="9760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D5392"/>
    <w:multiLevelType w:val="multilevel"/>
    <w:tmpl w:val="ADE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54BBD"/>
    <w:multiLevelType w:val="multilevel"/>
    <w:tmpl w:val="6EC04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C0F9B"/>
    <w:multiLevelType w:val="multilevel"/>
    <w:tmpl w:val="D55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975DD"/>
    <w:multiLevelType w:val="multilevel"/>
    <w:tmpl w:val="003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144F2"/>
    <w:multiLevelType w:val="multilevel"/>
    <w:tmpl w:val="61C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D6137"/>
    <w:multiLevelType w:val="multilevel"/>
    <w:tmpl w:val="7152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D1C49"/>
    <w:multiLevelType w:val="multilevel"/>
    <w:tmpl w:val="840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E75CF"/>
    <w:multiLevelType w:val="multilevel"/>
    <w:tmpl w:val="B32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408E4"/>
    <w:multiLevelType w:val="multilevel"/>
    <w:tmpl w:val="809C5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22672"/>
    <w:multiLevelType w:val="multilevel"/>
    <w:tmpl w:val="2FE6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F46D9"/>
    <w:multiLevelType w:val="multilevel"/>
    <w:tmpl w:val="7106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382024">
    <w:abstractNumId w:val="6"/>
  </w:num>
  <w:num w:numId="2" w16cid:durableId="736972899">
    <w:abstractNumId w:val="4"/>
  </w:num>
  <w:num w:numId="3" w16cid:durableId="1810782219">
    <w:abstractNumId w:val="10"/>
  </w:num>
  <w:num w:numId="4" w16cid:durableId="810361912">
    <w:abstractNumId w:val="13"/>
  </w:num>
  <w:num w:numId="5" w16cid:durableId="1976197">
    <w:abstractNumId w:val="9"/>
  </w:num>
  <w:num w:numId="6" w16cid:durableId="245039636">
    <w:abstractNumId w:val="14"/>
  </w:num>
  <w:num w:numId="7" w16cid:durableId="1406025840">
    <w:abstractNumId w:val="15"/>
  </w:num>
  <w:num w:numId="8" w16cid:durableId="1613978984">
    <w:abstractNumId w:val="11"/>
  </w:num>
  <w:num w:numId="9" w16cid:durableId="1702894411">
    <w:abstractNumId w:val="7"/>
  </w:num>
  <w:num w:numId="10" w16cid:durableId="717514024">
    <w:abstractNumId w:val="12"/>
  </w:num>
  <w:num w:numId="11" w16cid:durableId="1571191723">
    <w:abstractNumId w:val="5"/>
  </w:num>
  <w:num w:numId="12" w16cid:durableId="361905434">
    <w:abstractNumId w:val="8"/>
  </w:num>
  <w:num w:numId="13" w16cid:durableId="1140732533">
    <w:abstractNumId w:val="0"/>
  </w:num>
  <w:num w:numId="14" w16cid:durableId="1830318679">
    <w:abstractNumId w:val="1"/>
  </w:num>
  <w:num w:numId="15" w16cid:durableId="1121919549">
    <w:abstractNumId w:val="2"/>
  </w:num>
  <w:num w:numId="16" w16cid:durableId="710105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911"/>
    <w:rsid w:val="00051E60"/>
    <w:rsid w:val="000941A2"/>
    <w:rsid w:val="00385911"/>
    <w:rsid w:val="00880A06"/>
    <w:rsid w:val="00DE5E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35241"/>
  <w15:chartTrackingRefBased/>
  <w15:docId w15:val="{4257CE73-2E76-4649-8814-EABC0321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5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85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59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59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59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59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59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59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59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59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859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59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59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59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59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59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59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5911"/>
    <w:rPr>
      <w:rFonts w:eastAsiaTheme="majorEastAsia" w:cstheme="majorBidi"/>
      <w:color w:val="272727" w:themeColor="text1" w:themeTint="D8"/>
    </w:rPr>
  </w:style>
  <w:style w:type="paragraph" w:styleId="Titel">
    <w:name w:val="Title"/>
    <w:basedOn w:val="Standard"/>
    <w:next w:val="Standard"/>
    <w:link w:val="TitelZchn"/>
    <w:uiPriority w:val="10"/>
    <w:qFormat/>
    <w:rsid w:val="00385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59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59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59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59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5911"/>
    <w:rPr>
      <w:i/>
      <w:iCs/>
      <w:color w:val="404040" w:themeColor="text1" w:themeTint="BF"/>
    </w:rPr>
  </w:style>
  <w:style w:type="paragraph" w:styleId="Listenabsatz">
    <w:name w:val="List Paragraph"/>
    <w:basedOn w:val="Standard"/>
    <w:uiPriority w:val="34"/>
    <w:qFormat/>
    <w:rsid w:val="00385911"/>
    <w:pPr>
      <w:ind w:left="720"/>
      <w:contextualSpacing/>
    </w:pPr>
  </w:style>
  <w:style w:type="character" w:styleId="IntensiveHervorhebung">
    <w:name w:val="Intense Emphasis"/>
    <w:basedOn w:val="Absatz-Standardschriftart"/>
    <w:uiPriority w:val="21"/>
    <w:qFormat/>
    <w:rsid w:val="00385911"/>
    <w:rPr>
      <w:i/>
      <w:iCs/>
      <w:color w:val="0F4761" w:themeColor="accent1" w:themeShade="BF"/>
    </w:rPr>
  </w:style>
  <w:style w:type="paragraph" w:styleId="IntensivesZitat">
    <w:name w:val="Intense Quote"/>
    <w:basedOn w:val="Standard"/>
    <w:next w:val="Standard"/>
    <w:link w:val="IntensivesZitatZchn"/>
    <w:uiPriority w:val="30"/>
    <w:qFormat/>
    <w:rsid w:val="00385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5911"/>
    <w:rPr>
      <w:i/>
      <w:iCs/>
      <w:color w:val="0F4761" w:themeColor="accent1" w:themeShade="BF"/>
    </w:rPr>
  </w:style>
  <w:style w:type="character" w:styleId="IntensiverVerweis">
    <w:name w:val="Intense Reference"/>
    <w:basedOn w:val="Absatz-Standardschriftart"/>
    <w:uiPriority w:val="32"/>
    <w:qFormat/>
    <w:rsid w:val="00385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1598</Words>
  <Characters>10074</Characters>
  <Application>Microsoft Office Word</Application>
  <DocSecurity>0</DocSecurity>
  <Lines>83</Lines>
  <Paragraphs>23</Paragraphs>
  <ScaleCrop>false</ScaleCrop>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Kauert</dc:creator>
  <cp:keywords/>
  <dc:description/>
  <cp:lastModifiedBy>Mirko Kauert</cp:lastModifiedBy>
  <cp:revision>3</cp:revision>
  <dcterms:created xsi:type="dcterms:W3CDTF">2026-04-05T09:39:00Z</dcterms:created>
  <dcterms:modified xsi:type="dcterms:W3CDTF">2026-04-05T09:41:00Z</dcterms:modified>
</cp:coreProperties>
</file>