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0" w:line="300" w:lineRule="auto"/>
        <w:jc w:val="center"/>
      </w:pPr>
      <w:r>
        <w:rPr>
          <w:rFonts w:ascii="Arial" w:hAnsi="Arial" w:eastAsia="宋体"/>
          <w:b/>
          <w:sz w:val="40"/>
        </w:rPr>
        <w:t>AI 桌面伙伴用户研究</w:t>
      </w:r>
    </w:p>
    <w:p>
      <w:pPr>
        <w:spacing w:after="220" w:line="300" w:lineRule="auto"/>
        <w:jc w:val="center"/>
      </w:pPr>
      <w:r>
        <w:rPr>
          <w:rFonts w:ascii="Arial" w:hAnsi="Arial" w:eastAsia="宋体"/>
          <w:b/>
          <w:sz w:val="40"/>
        </w:rPr>
        <w:t>问卷设计与执行记录</w:t>
      </w:r>
    </w:p>
    <w:p>
      <w:pPr>
        <w:spacing w:after="100" w:line="300" w:lineRule="auto"/>
        <w:jc w:val="center"/>
      </w:pPr>
      <w:r>
        <w:rPr>
          <w:rFonts w:ascii="Arial" w:hAnsi="Arial" w:eastAsia="宋体"/>
          <w:b w:val="0"/>
          <w:sz w:val="22"/>
        </w:rPr>
        <w:t>版本 3.0 | 与31题正式问卷一致 | 2026-06-09</w:t>
      </w:r>
    </w:p>
    <w:p>
      <w:pPr>
        <w:spacing w:after="220" w:line="300" w:lineRule="auto"/>
      </w:pPr>
      <w:r>
        <w:rPr>
          <w:rFonts w:ascii="Arial" w:hAnsi="Arial" w:eastAsia="宋体"/>
          <w:b/>
          <w:sz w:val="30"/>
        </w:rPr>
        <w:t>一、研究定位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2"/>
        </w:rPr>
        <w:t>本研究定位为探索性概念测试，不用于估计全部 Windows 用户的市场需求比例，也不直接证明产品商业可行。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2"/>
        </w:rPr>
        <w:t>研究目标是发现：目标用户当前行为、概念吸引力、主要顾虑、MVP功能取舍、本地与云端模式偏好，以及初步价格区间。</w:t>
      </w:r>
    </w:p>
    <w:p>
      <w:pPr>
        <w:spacing w:after="220" w:line="300" w:lineRule="auto"/>
      </w:pPr>
      <w:r>
        <w:rPr>
          <w:rFonts w:ascii="Arial" w:hAnsi="Arial" w:eastAsia="宋体"/>
          <w:b/>
          <w:sz w:val="30"/>
        </w:rPr>
        <w:t>二、旧版问题与修订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8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旧版问题</w:t>
            </w:r>
          </w:p>
        </w:tc>
        <w:tc>
          <w:tcPr>
            <w:tcW w:type="dxa" w:w="3135"/>
            <w:shd w:fill="1F4E78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135"/>
            <w:shd w:fill="1F4E78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v3.0修订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过程记录称33题，实际问卷26题且封面写22题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研究不可复现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统一为7部分、31题</w:t>
            </w:r>
          </w:p>
        </w:tc>
      </w:tr>
      <w:tr>
        <w:tc>
          <w:tcPr>
            <w:tcW w:type="dxa" w:w="3135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使用“小生命、她懂你”等宣传语言</w:t>
            </w:r>
          </w:p>
        </w:tc>
        <w:tc>
          <w:tcPr>
            <w:tcW w:type="dxa" w:w="3135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正向启动和诱导</w:t>
            </w:r>
          </w:p>
        </w:tc>
        <w:tc>
          <w:tcPr>
            <w:tcW w:type="dxa" w:w="3135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改为中性描述，并同时呈现限制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宣称数据不上传，但默认规划云端API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事实错误和合规风险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明确本地与云端数据流</w:t>
            </w:r>
          </w:p>
        </w:tc>
      </w:tr>
      <w:tr>
        <w:tc>
          <w:tcPr>
            <w:tcW w:type="dxa" w:w="3135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没有商业模式和价格题</w:t>
            </w:r>
          </w:p>
        </w:tc>
        <w:tc>
          <w:tcPr>
            <w:tcW w:type="dxa" w:w="3135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无法支持买断定价</w:t>
            </w:r>
          </w:p>
        </w:tc>
        <w:tc>
          <w:tcPr>
            <w:tcW w:type="dxa" w:w="3135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加入模式选择和PSM四问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30份便利样本计划做复杂交叉分析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统计不稳定且不可外推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分阶段研究并限制结论</w:t>
            </w:r>
          </w:p>
        </w:tc>
      </w:tr>
      <w:tr>
        <w:tc>
          <w:tcPr>
            <w:tcW w:type="dxa" w:w="3135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声称匿名但同表收集联系方式</w:t>
            </w:r>
          </w:p>
        </w:tc>
        <w:tc>
          <w:tcPr>
            <w:tcW w:type="dxa" w:w="3135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不是真正匿名</w:t>
            </w:r>
          </w:p>
        </w:tc>
        <w:tc>
          <w:tcPr>
            <w:tcW w:type="dxa" w:w="3135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联系方式改由独立表单收集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全部功能做正向重要性评分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天花板效应，缺少取舍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首版最多选5项，再选最重要和最可推迟</w:t>
            </w:r>
          </w:p>
        </w:tc>
      </w:tr>
    </w:tbl>
    <w:p>
      <w:pPr>
        <w:spacing w:after="100" w:line="300" w:lineRule="auto"/>
      </w:pPr>
      <w:r>
        <w:rPr>
          <w:rFonts w:ascii="Arial" w:hAnsi="Arial" w:eastAsia="宋体"/>
          <w:b w:val="0"/>
          <w:sz w:val="6"/>
        </w:rPr>
      </w:r>
    </w:p>
    <w:p>
      <w:pPr>
        <w:spacing w:after="220" w:line="300" w:lineRule="auto"/>
      </w:pPr>
      <w:r>
        <w:rPr>
          <w:rFonts w:ascii="Arial" w:hAnsi="Arial" w:eastAsia="宋体"/>
          <w:b/>
          <w:sz w:val="30"/>
        </w:rPr>
        <w:t>三、问卷结构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8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3135"/>
            <w:shd w:fill="1F4E78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3135"/>
            <w:shd w:fill="1F4E78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资格与当前行为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Q1-Q7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筛选成年人和Windows用户，测量真实使用行为</w:t>
            </w:r>
          </w:p>
        </w:tc>
      </w:tr>
      <w:tr>
        <w:tc>
          <w:tcPr>
            <w:tcW w:type="dxa" w:w="3135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概念前自发需求</w:t>
            </w:r>
          </w:p>
        </w:tc>
        <w:tc>
          <w:tcPr>
            <w:tcW w:type="dxa" w:w="3135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Q8-Q9</w:t>
            </w:r>
          </w:p>
        </w:tc>
        <w:tc>
          <w:tcPr>
            <w:tcW w:type="dxa" w:w="3135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在产品介绍前收集未被提示的需求与卸载原因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中性概念测试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Q10-Q13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测量理解度、吸引力、试用可能性和顾虑</w:t>
            </w:r>
          </w:p>
        </w:tc>
      </w:tr>
      <w:tr>
        <w:tc>
          <w:tcPr>
            <w:tcW w:type="dxa" w:w="3135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MVP功能取舍</w:t>
            </w:r>
          </w:p>
        </w:tc>
        <w:tc>
          <w:tcPr>
            <w:tcW w:type="dxa" w:w="3135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Q14-Q19</w:t>
            </w:r>
          </w:p>
        </w:tc>
        <w:tc>
          <w:tcPr>
            <w:tcW w:type="dxa" w:w="3135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强迫资源约束下的功能选择和交互偏好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技术与隐私权衡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Q20-Q23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比较本地、云端、BYOK和下载成本</w:t>
            </w:r>
          </w:p>
        </w:tc>
      </w:tr>
      <w:tr>
        <w:tc>
          <w:tcPr>
            <w:tcW w:type="dxa" w:w="3135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商业模式探索</w:t>
            </w:r>
          </w:p>
        </w:tc>
        <w:tc>
          <w:tcPr>
            <w:tcW w:type="dxa" w:w="3135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Q24-Q29</w:t>
            </w:r>
          </w:p>
        </w:tc>
        <w:tc>
          <w:tcPr>
            <w:tcW w:type="dxa" w:w="3135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模式偏好、PSM价格问题和真实试玩条件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背景信息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Q30-Q31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宋体"/>
                <w:b w:val="0"/>
                <w:sz w:val="18"/>
              </w:rPr>
              <w:t>用于有限的探索性分组描述</w:t>
            </w:r>
          </w:p>
        </w:tc>
      </w:tr>
    </w:tbl>
    <w:p>
      <w:pPr>
        <w:spacing w:after="100" w:line="300" w:lineRule="auto"/>
      </w:pPr>
      <w:r>
        <w:rPr>
          <w:rFonts w:ascii="Arial" w:hAnsi="Arial" w:eastAsia="宋体"/>
          <w:b w:val="0"/>
          <w:sz w:val="6"/>
        </w:rPr>
      </w:r>
    </w:p>
    <w:p>
      <w:pPr>
        <w:spacing w:after="220" w:line="300" w:lineRule="auto"/>
      </w:pPr>
      <w:r>
        <w:rPr>
          <w:rFonts w:ascii="Arial" w:hAnsi="Arial" w:eastAsia="宋体"/>
          <w:b/>
          <w:sz w:val="30"/>
        </w:rPr>
        <w:t>四、抽样与执行方案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2"/>
        </w:rPr>
        <w:t>阶段1：5-8人认知访谈。逐题观察理解偏差、术语问题和选项遗漏。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2"/>
        </w:rPr>
        <w:t>阶段2：10-15人预测试。检查完成时间、跳题逻辑、题序和数据质量。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2"/>
        </w:rPr>
        <w:t>阶段3：100-200人的探索性问卷。建议按ACG兴趣高低、是否用过桌宠、学生/在职设置配额；每个关键分组尽量保留30-50人。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2"/>
        </w:rPr>
        <w:t>招募仍属于非概率样本。报告只能描述本次样本，不得使用“代表年轻人”“市场中有多少比例”等外推语言，也不得计算传统概率样本误差范围。</w:t>
      </w:r>
    </w:p>
    <w:p>
      <w:pPr>
        <w:spacing w:after="220" w:line="300" w:lineRule="auto"/>
      </w:pPr>
      <w:r>
        <w:rPr>
          <w:rFonts w:ascii="Arial" w:hAnsi="Arial" w:eastAsia="宋体"/>
          <w:b/>
          <w:sz w:val="30"/>
        </w:rPr>
        <w:t>五、数据质量规则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8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703"/>
            <w:shd w:fill="1F4E78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处理原则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宋体"/>
                <w:b w:val="0"/>
                <w:sz w:val="18"/>
              </w:rPr>
              <w:t>极短完成时间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宋体"/>
                <w:b w:val="0"/>
                <w:sz w:val="18"/>
              </w:rPr>
              <w:t>作为风险信号，不单独判无效</w:t>
            </w:r>
          </w:p>
        </w:tc>
      </w:tr>
      <w:tr>
        <w:tc>
          <w:tcPr>
            <w:tcW w:type="dxa" w:w="4703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逻辑矛盾</w:t>
            </w:r>
          </w:p>
        </w:tc>
        <w:tc>
          <w:tcPr>
            <w:tcW w:type="dxa" w:w="4703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结合资格题和后续行为题人工复核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宋体"/>
                <w:b w:val="0"/>
                <w:sz w:val="18"/>
              </w:rPr>
              <w:t>开放题乱码或无意义内容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宋体"/>
                <w:b w:val="0"/>
                <w:sz w:val="18"/>
              </w:rPr>
              <w:t>可作为无效依据</w:t>
            </w:r>
          </w:p>
        </w:tc>
      </w:tr>
      <w:tr>
        <w:tc>
          <w:tcPr>
            <w:tcW w:type="dxa" w:w="4703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重复设备或账号</w:t>
            </w:r>
          </w:p>
        </w:tc>
        <w:tc>
          <w:tcPr>
            <w:tcW w:type="dxa" w:w="4703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保留一份并记录规则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宋体"/>
                <w:b w:val="0"/>
                <w:sz w:val="18"/>
              </w:rPr>
              <w:t>长串同值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宋体"/>
                <w:b w:val="0"/>
                <w:sz w:val="18"/>
              </w:rPr>
              <w:t>只作为辅助指标，不能自动删除</w:t>
            </w:r>
          </w:p>
        </w:tc>
      </w:tr>
      <w:tr>
        <w:tc>
          <w:tcPr>
            <w:tcW w:type="dxa" w:w="4703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排他选项冲突</w:t>
            </w:r>
          </w:p>
        </w:tc>
        <w:tc>
          <w:tcPr>
            <w:tcW w:type="dxa" w:w="4703"/>
            <w:shd w:fill="D9EAF7"/>
          </w:tcPr>
          <w:p>
            <w:r>
              <w:rPr>
                <w:rFonts w:ascii="Arial" w:hAnsi="Arial" w:eastAsia="宋体"/>
                <w:b w:val="0"/>
                <w:sz w:val="18"/>
              </w:rPr>
              <w:t>在线问卷设置互斥逻辑</w:t>
            </w:r>
          </w:p>
        </w:tc>
      </w:tr>
    </w:tbl>
    <w:p>
      <w:pPr>
        <w:spacing w:after="100" w:line="300" w:lineRule="auto"/>
      </w:pPr>
      <w:r>
        <w:rPr>
          <w:rFonts w:ascii="Arial" w:hAnsi="Arial" w:eastAsia="宋体"/>
          <w:b w:val="0"/>
          <w:sz w:val="6"/>
        </w:rPr>
      </w:r>
    </w:p>
    <w:p>
      <w:pPr>
        <w:spacing w:after="220" w:line="300" w:lineRule="auto"/>
      </w:pPr>
      <w:r>
        <w:rPr>
          <w:rFonts w:ascii="Arial" w:hAnsi="Arial" w:eastAsia="宋体"/>
          <w:b/>
          <w:sz w:val="30"/>
        </w:rPr>
        <w:t>六、分析计划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2"/>
        </w:rPr>
        <w:t>描述性分析：报告各题人数和比例，并同时报告有效样本数。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2"/>
        </w:rPr>
        <w:t>分组分析：只比较预先指定的少量分组；样本过小时仅描述，不做显著性推断。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2"/>
        </w:rPr>
        <w:t>MVP排序：统计最多选5项的入选率、最重要项和最可推迟项。条件允许时，后续研究可改用MaxDiff。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2"/>
        </w:rPr>
        <w:t>PSM：Q25-Q28用于探索价格边界。结果只能作为价格实验输入，不能替代真实购买、愿望单、试玩转化和退款数据。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2"/>
        </w:rPr>
        <w:t>IPA不适用于当前概念问卷。只有原型可实际体验并同时测量重要性与满意度后，才考虑使用。</w:t>
      </w:r>
    </w:p>
    <w:p>
      <w:pPr>
        <w:spacing w:after="220" w:line="300" w:lineRule="auto"/>
      </w:pPr>
      <w:r>
        <w:rPr>
          <w:rFonts w:ascii="Arial" w:hAnsi="Arial" w:eastAsia="宋体"/>
          <w:b/>
          <w:sz w:val="30"/>
        </w:rPr>
        <w:t>七、隐私与伦理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2"/>
        </w:rPr>
        <w:t>问卷限定18岁及以上；不在正式问卷中收集姓名、邮箱、微信或QQ。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2"/>
        </w:rPr>
        <w:t>试玩报名使用独立表单，不使用可关联的响应ID。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2"/>
        </w:rPr>
        <w:t>发布问卷时应说明研究目的、数据用途、保存期限、访问人员和退出方式。</w:t>
      </w:r>
    </w:p>
    <w:p>
      <w:pPr>
        <w:spacing w:after="220" w:line="300" w:lineRule="auto"/>
      </w:pPr>
      <w:r>
        <w:rPr>
          <w:rFonts w:ascii="Arial" w:hAnsi="Arial" w:eastAsia="宋体"/>
          <w:b/>
          <w:sz w:val="30"/>
        </w:rPr>
        <w:t>八、报告披露要求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2"/>
        </w:rPr>
        <w:t>最终报告必须披露目标总体、招募渠道、调查日期、问卷全文、样本构成、完成率、排除规则、题序、是否随机化以及研究局限。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2"/>
        </w:rPr>
        <w:t>所有结论区分：本次样本观察、用户原话、研究者推断和待真实行为验证的假设。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