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line="300" w:lineRule="auto" w:before="0"/>
        <w:jc w:val="center"/>
      </w:pPr>
      <w:r>
        <w:rPr>
          <w:rFonts w:ascii="Arial" w:hAnsi="Arial" w:eastAsia="宋体"/>
          <w:b/>
          <w:sz w:val="38"/>
        </w:rPr>
        <w:t>AI 桌面伙伴项目</w:t>
      </w:r>
    </w:p>
    <w:p>
      <w:pPr>
        <w:spacing w:after="180" w:line="300" w:lineRule="auto" w:before="0"/>
        <w:jc w:val="center"/>
      </w:pPr>
      <w:r>
        <w:rPr>
          <w:rFonts w:ascii="Arial" w:hAnsi="Arial" w:eastAsia="宋体"/>
          <w:b/>
          <w:sz w:val="38"/>
        </w:rPr>
        <w:t>竞品联网核验过程记录</w:t>
      </w:r>
    </w:p>
    <w:p>
      <w:pPr>
        <w:spacing w:after="100" w:line="300" w:lineRule="auto"/>
        <w:jc w:val="center"/>
      </w:pPr>
      <w:r>
        <w:rPr>
          <w:rFonts w:ascii="Arial" w:hAnsi="Arial" w:eastAsia="宋体"/>
          <w:b w:val="0"/>
          <w:sz w:val="21"/>
        </w:rPr>
        <w:t>版本 2.0 | 核验日期 2026-06-09</w:t>
      </w:r>
    </w:p>
    <w:p>
      <w:pPr>
        <w:spacing w:after="180" w:line="300" w:lineRule="auto" w:before="200"/>
      </w:pPr>
      <w:r>
        <w:rPr>
          <w:rFonts w:ascii="Arial" w:hAnsi="Arial" w:eastAsia="宋体"/>
          <w:b/>
          <w:sz w:val="28"/>
        </w:rPr>
        <w:t>一、核验目标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1"/>
        </w:rPr>
        <w:t>检查2026-05-31竞品研究中的产品事实、市场判断、商业数字、技术路线和研究可复现性，并区分官方事实、第三方估算、用户评论和研究者推断。</w:t>
      </w:r>
    </w:p>
    <w:p>
      <w:pPr>
        <w:spacing w:after="180" w:line="300" w:lineRule="auto" w:before="200"/>
      </w:pPr>
      <w:r>
        <w:rPr>
          <w:rFonts w:ascii="Arial" w:hAnsi="Arial" w:eastAsia="宋体"/>
          <w:b/>
          <w:sz w:val="28"/>
        </w:rPr>
        <w:t>二、并行审查分工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审查方向</w:t>
            </w:r>
          </w:p>
        </w:tc>
        <w:tc>
          <w:tcPr>
            <w:tcW w:type="dxa" w:w="4816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主要任务</w:t>
            </w:r>
          </w:p>
        </w:tc>
      </w:tr>
      <w:tr>
        <w:tc>
          <w:tcPr>
            <w:tcW w:type="dxa" w:w="4816"/>
          </w:tcPr>
          <w:p>
            <w:r>
              <w:rPr>
                <w:rFonts w:ascii="Arial" w:hAnsi="Arial" w:eastAsia="宋体"/>
                <w:b w:val="0"/>
                <w:sz w:val="17"/>
              </w:rPr>
              <w:t>竞品事实</w:t>
            </w:r>
          </w:p>
        </w:tc>
        <w:tc>
          <w:tcPr>
            <w:tcW w:type="dxa" w:w="4816"/>
          </w:tcPr>
          <w:p>
            <w:r>
              <w:rPr>
                <w:rFonts w:ascii="Arial" w:hAnsi="Arial" w:eastAsia="宋体"/>
                <w:b w:val="0"/>
                <w:sz w:val="17"/>
              </w:rPr>
              <w:t>核对名称、开发商、发布日期、价格、平台、功能和动态数据</w:t>
            </w:r>
          </w:p>
        </w:tc>
      </w:tr>
      <w:tr>
        <w:tc>
          <w:tcPr>
            <w:tcW w:type="dxa" w:w="4816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市场与商业</w:t>
            </w:r>
          </w:p>
        </w:tc>
        <w:tc>
          <w:tcPr>
            <w:tcW w:type="dxa" w:w="4816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核对市场空白、买断验证、订阅疲劳、MAU和商业数字</w:t>
            </w:r>
          </w:p>
        </w:tc>
      </w:tr>
      <w:tr>
        <w:tc>
          <w:tcPr>
            <w:tcW w:type="dxa" w:w="4816"/>
          </w:tcPr>
          <w:p>
            <w:r>
              <w:rPr>
                <w:rFonts w:ascii="Arial" w:hAnsi="Arial" w:eastAsia="宋体"/>
                <w:b w:val="0"/>
                <w:sz w:val="17"/>
              </w:rPr>
              <w:t>技术路线</w:t>
            </w:r>
          </w:p>
        </w:tc>
        <w:tc>
          <w:tcPr>
            <w:tcW w:type="dxa" w:w="4816"/>
          </w:tcPr>
          <w:p>
            <w:r>
              <w:rPr>
                <w:rFonts w:ascii="Arial" w:hAnsi="Arial" w:eastAsia="宋体"/>
                <w:b w:val="0"/>
                <w:sz w:val="17"/>
              </w:rPr>
              <w:t>核对Electron、Live2D、Pixi、点击穿透和恢复API</w:t>
            </w:r>
          </w:p>
        </w:tc>
      </w:tr>
      <w:tr>
        <w:tc>
          <w:tcPr>
            <w:tcW w:type="dxa" w:w="4816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问卷方法</w:t>
            </w:r>
          </w:p>
        </w:tc>
        <w:tc>
          <w:tcPr>
            <w:tcW w:type="dxa" w:w="4816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核对版本、诱导性、量表、抽样、统计和隐私伦理</w:t>
            </w:r>
          </w:p>
        </w:tc>
      </w:tr>
      <w:tr>
        <w:tc>
          <w:tcPr>
            <w:tcW w:type="dxa" w:w="4816"/>
          </w:tcPr>
          <w:p>
            <w:r>
              <w:rPr>
                <w:rFonts w:ascii="Arial" w:hAnsi="Arial" w:eastAsia="宋体"/>
                <w:b w:val="0"/>
                <w:sz w:val="17"/>
              </w:rPr>
              <w:t>独立红队</w:t>
            </w:r>
          </w:p>
        </w:tc>
        <w:tc>
          <w:tcPr>
            <w:tcW w:type="dxa" w:w="4816"/>
          </w:tcPr>
          <w:p>
            <w:r>
              <w:rPr>
                <w:rFonts w:ascii="Arial" w:hAnsi="Arial" w:eastAsia="宋体"/>
                <w:b w:val="0"/>
                <w:sz w:val="17"/>
              </w:rPr>
              <w:t>寻找反例、选择性引用、确认偏误和错误立项风险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21"/>
        </w:rPr>
      </w:r>
    </w:p>
    <w:p>
      <w:pPr>
        <w:spacing w:after="180" w:line="300" w:lineRule="auto" w:before="200"/>
      </w:pPr>
      <w:r>
        <w:rPr>
          <w:rFonts w:ascii="Arial" w:hAnsi="Arial" w:eastAsia="宋体"/>
          <w:b/>
          <w:sz w:val="28"/>
        </w:rPr>
        <w:t>三、来源优先级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211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211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使用规则</w:t>
            </w:r>
          </w:p>
        </w:tc>
      </w:tr>
      <w:tr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Steam官方页、GitHub官方仓库、产品官网、官方文档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产品功能、价格、版本和技术事实的主要依据</w:t>
            </w:r>
          </w:p>
        </w:tc>
      </w:tr>
      <w:tr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监管机构、公司年报、官方隐私政策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法律事件、交易性质和数据使用依据</w:t>
            </w:r>
          </w:p>
        </w:tc>
      </w:tr>
      <w:tr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可靠媒体和行业数据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必须标注发布日期、口径和属于第三方估算</w:t>
            </w:r>
          </w:p>
        </w:tc>
      </w:tr>
      <w:tr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Steam评论、Reddit、B站等用户内容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只能做定性样本，必须披露抽样方法</w:t>
            </w:r>
          </w:p>
        </w:tc>
      </w:tr>
      <w:tr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禁止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无链接的AI生成数字或动机判断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不得写成事实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21"/>
        </w:rPr>
      </w:r>
    </w:p>
    <w:p>
      <w:pPr>
        <w:spacing w:after="180" w:line="300" w:lineRule="auto" w:before="200"/>
      </w:pPr>
      <w:r>
        <w:rPr>
          <w:rFonts w:ascii="Arial" w:hAnsi="Arial" w:eastAsia="宋体"/>
          <w:b/>
          <w:sz w:val="28"/>
        </w:rPr>
        <w:t>四、主要纠正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旧结论</w:t>
            </w:r>
          </w:p>
        </w:tc>
        <w:tc>
          <w:tcPr>
            <w:tcW w:type="dxa" w:w="3211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核验结果</w:t>
            </w:r>
          </w:p>
        </w:tc>
        <w:tc>
          <w:tcPr>
            <w:tcW w:type="dxa" w:w="3211"/>
            <w:shd w:fill="1F4E78"/>
          </w:tcPr>
          <w:p>
            <w:pPr>
              <w:jc w:val="center"/>
            </w:pPr>
            <w:r>
              <w:rPr>
                <w:rFonts w:ascii="Arial" w:hAnsi="Arial" w:eastAsia="宋体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市场完全空白、第一、唯一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已存在AI Desktop Pet、Deskie、Moe.AI等直接竞品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删除</w:t>
            </w:r>
          </w:p>
        </w:tc>
      </w:tr>
      <w:tr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Desktop Mate由MegaRads开发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Steam显示开发商为infiniteloop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纠正</w:t>
            </w:r>
          </w:p>
        </w:tc>
      </w:tr>
      <w:tr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Project N.E.K.O.是买断制且已支持移动端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当前为免费抢先体验，移动/VR仅为方向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纠正</w:t>
            </w:r>
          </w:p>
        </w:tc>
      </w:tr>
      <w:tr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AIRI采用Tauri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当前官方桌面端采用Electron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纠正</w:t>
            </w:r>
          </w:p>
        </w:tc>
      </w:tr>
      <w:tr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约18元上架证明买断可行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缺乏销量、留存、退款和盈利数据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降级为待验证假设</w:t>
            </w:r>
          </w:p>
        </w:tc>
      </w:tr>
      <w:tr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Google向Character.AI投资27亿美元覆盖亏损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交易主要涉及技术许可和人才，资金用途推断无依据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纠正</w:t>
            </w:r>
          </w:p>
        </w:tc>
      </w:tr>
      <w:tr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数据永不出电脑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云端API会接收当前请求</w:t>
            </w:r>
          </w:p>
        </w:tc>
        <w:tc>
          <w:tcPr>
            <w:tcW w:type="dxa" w:w="3211"/>
          </w:tcPr>
          <w:p>
            <w:r>
              <w:rPr>
                <w:rFonts w:ascii="Arial" w:hAnsi="Arial" w:eastAsia="宋体"/>
                <w:b w:val="0"/>
                <w:sz w:val="17"/>
              </w:rPr>
              <w:t>改为分模式说明</w:t>
            </w:r>
          </w:p>
        </w:tc>
      </w:tr>
      <w:tr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Electron 30为安全锁版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Electron 30已停止支持</w:t>
            </w:r>
          </w:p>
        </w:tc>
        <w:tc>
          <w:tcPr>
            <w:tcW w:type="dxa" w:w="3211"/>
            <w:shd w:fill="EAF2F8"/>
          </w:tcPr>
          <w:p>
            <w:r>
              <w:rPr>
                <w:rFonts w:ascii="Arial" w:hAnsi="Arial" w:eastAsia="宋体"/>
                <w:b w:val="0"/>
                <w:sz w:val="17"/>
              </w:rPr>
              <w:t>改为验证当前受支持版本</w:t>
            </w:r>
          </w:p>
        </w:tc>
      </w:tr>
    </w:tbl>
    <w:p>
      <w:pPr>
        <w:spacing w:after="100" w:line="300" w:lineRule="auto"/>
      </w:pPr>
      <w:r>
        <w:rPr>
          <w:rFonts w:ascii="Arial" w:hAnsi="Arial" w:eastAsia="宋体"/>
          <w:b w:val="0"/>
          <w:sz w:val="21"/>
        </w:rPr>
      </w:r>
    </w:p>
    <w:p>
      <w:pPr>
        <w:spacing w:after="180" w:line="300" w:lineRule="auto" w:before="200"/>
      </w:pPr>
      <w:r>
        <w:rPr>
          <w:rFonts w:ascii="Arial" w:hAnsi="Arial" w:eastAsia="宋体"/>
          <w:b/>
          <w:sz w:val="28"/>
        </w:rPr>
        <w:t>五、研究可复现性要求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1"/>
        </w:rPr>
        <w:t>今后的竞品记录为每条事实保存URL、访问日期、页面存档、事实/推断标签和数据口径。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1"/>
        </w:rPr>
        <w:t>评分矩阵不得将未开发产品的目标分数与竞品实测分数并列。优先改用步骤数、启动时间、资源占用、平台支持和可重复测试结果。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1"/>
        </w:rPr>
        <w:t>用户评论分析必须披露平台、日期范围、语言、样本量、纳入规则和编码方法。</w:t>
      </w:r>
    </w:p>
    <w:p>
      <w:pPr>
        <w:spacing w:after="180" w:line="300" w:lineRule="auto" w:before="200"/>
      </w:pPr>
      <w:r>
        <w:rPr>
          <w:rFonts w:ascii="Arial" w:hAnsi="Arial" w:eastAsia="宋体"/>
          <w:b/>
          <w:sz w:val="28"/>
        </w:rPr>
        <w:t>六、关键官方来源</w:t>
      </w:r>
    </w:p>
    <w:p>
      <w:pPr>
        <w:pStyle w:val="ListBullet"/>
      </w:pPr>
      <w:r>
        <w:rPr>
          <w:rFonts w:ascii="Arial" w:hAnsi="Arial" w:eastAsia="宋体"/>
          <w:b w:val="0"/>
          <w:sz w:val="19"/>
        </w:rPr>
        <w:t>AI Desktop Pet: https://store.steampowered.com/app/4227700/AI_Desktop_Pet/</w:t>
      </w:r>
    </w:p>
    <w:p>
      <w:pPr>
        <w:pStyle w:val="ListBullet"/>
      </w:pPr>
      <w:r>
        <w:rPr>
          <w:rFonts w:ascii="Arial" w:hAnsi="Arial" w:eastAsia="宋体"/>
          <w:b w:val="0"/>
          <w:sz w:val="19"/>
        </w:rPr>
        <w:t>Deskie: https://store.steampowered.com/app/3540710/Deskie/</w:t>
      </w:r>
    </w:p>
    <w:p>
      <w:pPr>
        <w:pStyle w:val="ListBullet"/>
      </w:pPr>
      <w:r>
        <w:rPr>
          <w:rFonts w:ascii="Arial" w:hAnsi="Arial" w:eastAsia="宋体"/>
          <w:b w:val="0"/>
          <w:sz w:val="19"/>
        </w:rPr>
        <w:t>Moe.AI: https://store.steampowered.com/app/4159250/MoeAI/</w:t>
      </w:r>
    </w:p>
    <w:p>
      <w:pPr>
        <w:pStyle w:val="ListBullet"/>
      </w:pPr>
      <w:r>
        <w:rPr>
          <w:rFonts w:ascii="Arial" w:hAnsi="Arial" w:eastAsia="宋体"/>
          <w:b w:val="0"/>
          <w:sz w:val="19"/>
        </w:rPr>
        <w:t>Project N.E.K.O.: https://store.steampowered.com/app/4099310/Project_NEKO/</w:t>
      </w:r>
    </w:p>
    <w:p>
      <w:pPr>
        <w:pStyle w:val="ListBullet"/>
      </w:pPr>
      <w:r>
        <w:rPr>
          <w:rFonts w:ascii="Arial" w:hAnsi="Arial" w:eastAsia="宋体"/>
          <w:b w:val="0"/>
          <w:sz w:val="19"/>
        </w:rPr>
        <w:t>Desktop Mate: https://store.steampowered.com/app/3301060/Desktop_Mate/</w:t>
      </w:r>
    </w:p>
    <w:p>
      <w:pPr>
        <w:pStyle w:val="ListBullet"/>
      </w:pPr>
      <w:r>
        <w:rPr>
          <w:rFonts w:ascii="Arial" w:hAnsi="Arial" w:eastAsia="宋体"/>
          <w:b w:val="0"/>
          <w:sz w:val="19"/>
        </w:rPr>
        <w:t>Open-LLM-VTuber: https://github.com/Open-LLM-VTuber/Open-LLM-VTuber</w:t>
      </w:r>
    </w:p>
    <w:p>
      <w:pPr>
        <w:pStyle w:val="ListBullet"/>
      </w:pPr>
      <w:r>
        <w:rPr>
          <w:rFonts w:ascii="Arial" w:hAnsi="Arial" w:eastAsia="宋体"/>
          <w:b w:val="0"/>
          <w:sz w:val="19"/>
        </w:rPr>
        <w:t>AIRI: https://github.com/moeru-ai/airi</w:t>
      </w:r>
    </w:p>
    <w:p>
      <w:pPr>
        <w:pStyle w:val="ListBullet"/>
      </w:pPr>
      <w:r>
        <w:rPr>
          <w:rFonts w:ascii="Arial" w:hAnsi="Arial" w:eastAsia="宋体"/>
          <w:b w:val="0"/>
          <w:sz w:val="19"/>
        </w:rPr>
        <w:t>Electron窗口交互: https://www.electronjs.org/docs/latest/tutorial/custom-window-interactions</w:t>
      </w:r>
    </w:p>
    <w:p>
      <w:pPr>
        <w:pStyle w:val="ListBullet"/>
      </w:pPr>
      <w:r>
        <w:rPr>
          <w:rFonts w:ascii="Arial" w:hAnsi="Arial" w:eastAsia="宋体"/>
          <w:b w:val="0"/>
          <w:sz w:val="19"/>
        </w:rPr>
        <w:t>Live2D Cubism SDK: https://www.live2d.com/en/sdk/download/web/</w:t>
      </w:r>
    </w:p>
    <w:p>
      <w:pPr>
        <w:pStyle w:val="ListBullet"/>
      </w:pPr>
      <w:r>
        <w:rPr>
          <w:rFonts w:ascii="Arial" w:hAnsi="Arial" w:eastAsia="宋体"/>
          <w:b w:val="0"/>
          <w:sz w:val="19"/>
        </w:rPr>
        <w:t>Character.AI模型训练说明: https://policies.character.ai/model-training</w:t>
      </w:r>
    </w:p>
    <w:p>
      <w:pPr>
        <w:pStyle w:val="ListBullet"/>
      </w:pPr>
      <w:r>
        <w:rPr>
          <w:rFonts w:ascii="Arial" w:hAnsi="Arial" w:eastAsia="宋体"/>
          <w:b w:val="0"/>
          <w:sz w:val="19"/>
        </w:rPr>
        <w:t>意大利数据保护机构: https://www.gpdp.it/garante/doc.jsp?ID=10132048</w:t>
      </w:r>
    </w:p>
    <w:p>
      <w:pPr>
        <w:spacing w:after="180" w:line="300" w:lineRule="auto" w:before="200"/>
      </w:pPr>
      <w:r>
        <w:rPr>
          <w:rFonts w:ascii="Arial" w:hAnsi="Arial" w:eastAsia="宋体"/>
          <w:b/>
          <w:sz w:val="28"/>
        </w:rPr>
        <w:t>七、修订结果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1"/>
        </w:rPr>
        <w:t>已重写competitive-comparison.md和competitive-strategy.md，修订CONTEXT.md、MASTER_PLAN.md和task-list.md，并重新生成正式竞品报告。</w:t>
      </w:r>
    </w:p>
    <w:p>
      <w:pPr>
        <w:spacing w:after="100" w:line="300" w:lineRule="auto"/>
      </w:pPr>
      <w:r>
        <w:rPr>
          <w:rFonts w:ascii="Arial" w:hAnsi="Arial" w:eastAsia="宋体"/>
          <w:b w:val="0"/>
          <w:sz w:val="21"/>
        </w:rPr>
        <w:t>旧版review-report.md保留为历史文档，但已添加失效提示，不能继续作为当前实施依据。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