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rFonts w:ascii="Calibri" w:hAnsi="Calibri"/>
          <w:b w:val="0"/>
          <w:i/>
          <w:color w:val="64748B"/>
          <w:sz w:val="18"/>
        </w:rPr>
        <w:t>BUILT Bar  ·  Aevah Mo Demand Intelligence  ·  July 2026  ·  Confidential</w:t>
      </w:r>
    </w:p>
    <w:p>
      <w:pPr>
        <w:spacing w:before="0" w:after="200"/>
      </w:pPr>
      <w:r>
        <w:rPr>
          <w:rFonts w:ascii="Calibri" w:hAnsi="Calibri"/>
          <w:b/>
          <w:i w:val="0"/>
          <w:color w:val="1A1A1A"/>
          <w:sz w:val="48"/>
        </w:rPr>
        <w:t>Demand Intelligence Built for BUILT Finance</w:t>
      </w:r>
    </w:p>
    <w:p>
      <w:pPr>
        <w:spacing w:before="0" w:after="200"/>
      </w:pPr>
      <w:r>
        <w:rPr>
          <w:rFonts w:ascii="Calibri" w:hAnsi="Calibri"/>
          <w:b w:val="0"/>
          <w:i w:val="0"/>
          <w:color w:val="1A1A1A"/>
          <w:sz w:val="22"/>
        </w:rPr>
        <w:t>A comprehensive view of Mo’s forecasting, cannibalization detection, price elasticity analysis, causal insights, and explainability — built to complement and supercharge your existing FP&amp;A process with continuously improving, account-level precision grounded in live SPINS data.</w:t>
      </w:r>
    </w:p>
    <w:p>
      <w:pPr>
        <w:spacing w:before="0" w:after="400"/>
      </w:pPr>
      <w:r>
        <w:rPr>
          <w:rFonts w:ascii="Calibri" w:hAnsi="Calibri"/>
          <w:b w:val="0"/>
          <w:i w:val="0"/>
          <w:color w:val="64748B"/>
          <w:sz w:val="18"/>
        </w:rPr>
        <w:t>Prepared for: BUILT Finance &amp; FP&amp;A Leadership  ·  Aevah + BUILT  ·  July 17, 2026</w:t>
      </w:r>
    </w:p>
    <w:p>
      <w:pPr>
        <w:spacing w:before="0" w:after="320"/>
        <w:pBdr>
          <w:bottom w:val="single" w:sz="8" w:space="4" w:color="1A1A1A"/>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881"/>
        <w:gridCol w:w="1881"/>
        <w:gridCol w:w="1881"/>
        <w:gridCol w:w="1881"/>
        <w:gridCol w:w="1881"/>
      </w:tblGrid>
      <w:tr>
        <w:tc>
          <w:tcPr>
            <w:tcW w:type="dxa" w:w="1886"/>
            <w:shd w:val="clear" w:color="auto" w:fill="FFFFFF"/>
            <w:tcBorders>
              <w:top w:val="single" w:sz="4" w:space="0" w:color="E5E7EB"/>
              <w:right w:val="single" w:sz="4" w:space="0" w:color="E5E7EB"/>
              <w:bottom w:val="single" w:sz="4" w:space="0" w:color="E5E7EB"/>
              <w:left w:val="single" w:sz="4" w:space="0" w:color="E5E7EB"/>
            </w:tcBorders>
          </w:tcPr>
          <w:p>
            <w:pPr>
              <w:spacing w:before="160" w:after="40"/>
              <w:ind w:left="80"/>
            </w:pPr>
            <w:r>
              <w:rPr>
                <w:rFonts w:ascii="Calibri" w:hAnsi="Calibri"/>
                <w:b/>
                <w:i w:val="0"/>
                <w:color w:val="555555"/>
                <w:sz w:val="14"/>
              </w:rPr>
              <w:t>SPINS DATA ALONE</w:t>
            </w:r>
          </w:p>
          <w:p>
            <w:pPr>
              <w:spacing w:before="0" w:after="40"/>
              <w:ind w:left="80"/>
            </w:pPr>
            <w:r>
              <w:rPr>
                <w:rFonts w:ascii="Calibri" w:hAnsi="Calibri"/>
                <w:b/>
                <w:i w:val="0"/>
                <w:color w:val="555555"/>
                <w:sz w:val="36"/>
              </w:rPr>
              <w:t>13.1%</w:t>
            </w:r>
          </w:p>
          <w:p>
            <w:pPr>
              <w:spacing w:before="0" w:after="160"/>
              <w:ind w:left="80" w:right="80"/>
            </w:pPr>
            <w:r>
              <w:rPr>
                <w:rFonts w:ascii="Calibri" w:hAnsi="Calibri"/>
                <w:b w:val="0"/>
                <w:i w:val="0"/>
                <w:color w:val="64748B"/>
                <w:sz w:val="14"/>
              </w:rPr>
              <w:t>Weighted forecast error achievable from SPINS POS data — 5-quarter rolling average</w:t>
            </w:r>
          </w:p>
        </w:tc>
        <w:tc>
          <w:tcPr>
            <w:tcW w:type="dxa" w:w="1886"/>
            <w:shd w:val="clear" w:color="auto" w:fill="FFFBEB"/>
            <w:tcBorders>
              <w:top w:val="single" w:sz="4" w:space="0" w:color="E5E7EB"/>
              <w:right w:val="single" w:sz="4" w:space="0" w:color="E5E7EB"/>
              <w:bottom w:val="single" w:sz="4" w:space="0" w:color="E5E7EB"/>
              <w:left w:val="single" w:sz="4" w:space="0" w:color="E5E7EB"/>
            </w:tcBorders>
          </w:tcPr>
          <w:p>
            <w:pPr>
              <w:spacing w:before="160" w:after="40"/>
              <w:ind w:left="80"/>
            </w:pPr>
            <w:r>
              <w:rPr>
                <w:rFonts w:ascii="Calibri" w:hAnsi="Calibri"/>
                <w:b/>
                <w:i w:val="0"/>
                <w:color w:val="92400E"/>
                <w:sz w:val="14"/>
              </w:rPr>
              <w:t>BUILT'S CURRENT PROCESS</w:t>
            </w:r>
          </w:p>
          <w:p>
            <w:pPr>
              <w:spacing w:before="0" w:after="40"/>
              <w:ind w:left="80"/>
            </w:pPr>
            <w:r>
              <w:rPr>
                <w:rFonts w:ascii="Calibri" w:hAnsi="Calibri"/>
                <w:b/>
                <w:i w:val="0"/>
                <w:color w:val="92400E"/>
                <w:sz w:val="36"/>
              </w:rPr>
              <w:t>7–10%</w:t>
            </w:r>
          </w:p>
          <w:p>
            <w:pPr>
              <w:spacing w:before="0" w:after="160"/>
              <w:ind w:left="80" w:right="80"/>
            </w:pPr>
            <w:r>
              <w:rPr>
                <w:rFonts w:ascii="Calibri" w:hAnsi="Calibri"/>
                <w:b w:val="0"/>
                <w:i w:val="0"/>
                <w:color w:val="64748B"/>
                <w:sz w:val="14"/>
              </w:rPr>
              <w:t>Corporate-level accuracy — a strong baseline aggregating across accounts and SKUs</w:t>
            </w:r>
          </w:p>
        </w:tc>
        <w:tc>
          <w:tcPr>
            <w:tcW w:type="dxa" w:w="1886"/>
            <w:shd w:val="clear" w:color="auto" w:fill="F0FDF4"/>
            <w:tcBorders>
              <w:top w:val="single" w:sz="4" w:space="0" w:color="E5E7EB"/>
              <w:right w:val="single" w:sz="4" w:space="0" w:color="E5E7EB"/>
              <w:bottom w:val="single" w:sz="4" w:space="0" w:color="E5E7EB"/>
              <w:left w:val="single" w:sz="4" w:space="0" w:color="E5E7EB"/>
            </w:tcBorders>
          </w:tcPr>
          <w:p>
            <w:pPr>
              <w:spacing w:before="160" w:after="40"/>
              <w:ind w:left="80"/>
            </w:pPr>
            <w:r>
              <w:rPr>
                <w:rFonts w:ascii="Calibri" w:hAnsi="Calibri"/>
                <w:b/>
                <w:i w:val="0"/>
                <w:color w:val="15803D"/>
                <w:sz w:val="14"/>
              </w:rPr>
              <w:t>MO UNIFIED INTELLIGENCE</w:t>
            </w:r>
          </w:p>
          <w:p>
            <w:pPr>
              <w:spacing w:before="0" w:after="40"/>
              <w:ind w:left="80"/>
            </w:pPr>
            <w:r>
              <w:rPr>
                <w:rFonts w:ascii="Calibri" w:hAnsi="Calibri"/>
                <w:b/>
                <w:i w:val="0"/>
                <w:color w:val="15803D"/>
                <w:sz w:val="36"/>
              </w:rPr>
              <w:t>4.4%</w:t>
            </w:r>
          </w:p>
          <w:p>
            <w:pPr>
              <w:spacing w:before="0" w:after="160"/>
              <w:ind w:left="80" w:right="80"/>
            </w:pPr>
            <w:r>
              <w:rPr>
                <w:rFonts w:ascii="Calibri" w:hAnsi="Calibri"/>
                <w:b w:val="0"/>
                <w:i w:val="0"/>
                <w:color w:val="64748B"/>
                <w:sz w:val="14"/>
              </w:rPr>
              <w:t>Aevah unifies all data sources with blended machine learning — best Q1 2026 result</w:t>
            </w:r>
          </w:p>
        </w:tc>
        <w:tc>
          <w:tcPr>
            <w:tcW w:type="dxa" w:w="1886"/>
            <w:shd w:val="clear" w:color="auto" w:fill="F0FDF4"/>
            <w:tcBorders>
              <w:top w:val="single" w:sz="4" w:space="0" w:color="E5E7EB"/>
              <w:right w:val="single" w:sz="4" w:space="0" w:color="E5E7EB"/>
              <w:bottom w:val="single" w:sz="4" w:space="0" w:color="E5E7EB"/>
              <w:left w:val="single" w:sz="4" w:space="0" w:color="E5E7EB"/>
            </w:tcBorders>
          </w:tcPr>
          <w:p>
            <w:pPr>
              <w:spacing w:before="160" w:after="40"/>
              <w:ind w:left="80"/>
            </w:pPr>
            <w:r>
              <w:rPr>
                <w:rFonts w:ascii="Calibri" w:hAnsi="Calibri"/>
                <w:b/>
                <w:i w:val="0"/>
                <w:color w:val="15803D"/>
                <w:sz w:val="14"/>
              </w:rPr>
              <w:t>ELASTICITY VALIDATION</w:t>
            </w:r>
          </w:p>
          <w:p>
            <w:pPr>
              <w:spacing w:before="0" w:after="40"/>
              <w:ind w:left="80"/>
            </w:pPr>
            <w:r>
              <w:rPr>
                <w:rFonts w:ascii="Calibri" w:hAnsi="Calibri"/>
                <w:b/>
                <w:i w:val="0"/>
                <w:color w:val="15803D"/>
                <w:sz w:val="36"/>
              </w:rPr>
              <w:t>63%</w:t>
            </w:r>
          </w:p>
          <w:p>
            <w:pPr>
              <w:spacing w:before="0" w:after="160"/>
              <w:ind w:left="80" w:right="80"/>
            </w:pPr>
            <w:r>
              <w:rPr>
                <w:rFonts w:ascii="Calibri" w:hAnsi="Calibri"/>
                <w:b w:val="0"/>
                <w:i w:val="0"/>
                <w:color w:val="64748B"/>
                <w:sz w:val="14"/>
              </w:rPr>
              <w:t>Direction accuracy on clean, non-confounded price events</w:t>
            </w:r>
          </w:p>
        </w:tc>
        <w:tc>
          <w:tcPr>
            <w:tcW w:type="dxa" w:w="1886"/>
            <w:shd w:val="clear" w:color="auto" w:fill="F0FDF4"/>
            <w:tcBorders>
              <w:top w:val="single" w:sz="4" w:space="0" w:color="E5E7EB"/>
              <w:right w:val="single" w:sz="4" w:space="0" w:color="E5E7EB"/>
              <w:bottom w:val="single" w:sz="4" w:space="0" w:color="E5E7EB"/>
              <w:left w:val="single" w:sz="4" w:space="0" w:color="E5E7EB"/>
            </w:tcBorders>
          </w:tcPr>
          <w:p>
            <w:pPr>
              <w:spacing w:before="160" w:after="40"/>
              <w:ind w:left="80"/>
            </w:pPr>
            <w:r>
              <w:rPr>
                <w:rFonts w:ascii="Calibri" w:hAnsi="Calibri"/>
                <w:b/>
                <w:i w:val="0"/>
                <w:color w:val="15803D"/>
                <w:sz w:val="14"/>
              </w:rPr>
              <w:t>VALUE CASE</w:t>
            </w:r>
          </w:p>
          <w:p>
            <w:pPr>
              <w:spacing w:before="0" w:after="40"/>
              <w:ind w:left="80"/>
            </w:pPr>
            <w:r>
              <w:rPr>
                <w:rFonts w:ascii="Calibri" w:hAnsi="Calibri"/>
                <w:b/>
                <w:i w:val="0"/>
                <w:color w:val="15803D"/>
                <w:sz w:val="36"/>
              </w:rPr>
              <w:t>$9–22M+</w:t>
            </w:r>
          </w:p>
          <w:p>
            <w:pPr>
              <w:spacing w:before="0" w:after="160"/>
              <w:ind w:left="80" w:right="80"/>
            </w:pPr>
            <w:r>
              <w:rPr>
                <w:rFonts w:ascii="Calibri" w:hAnsi="Calibri"/>
                <w:b w:val="0"/>
                <w:i w:val="0"/>
                <w:color w:val="64748B"/>
                <w:sz w:val="14"/>
              </w:rPr>
              <w:t>Annual combined value across three workstreams — see breakdown below</w:t>
            </w:r>
          </w:p>
        </w:tc>
      </w:tr>
    </w:tbl>
    <w:p>
      <w:pPr>
        <w:spacing w:before="0" w:after="0"/>
      </w:pPr>
      <w:r>
        <w:rPr>
          <w:sz w:val="28"/>
        </w:rPr>
      </w:r>
    </w:p>
    <w:p>
      <w:pPr>
        <w:spacing w:before="280" w:after="120"/>
      </w:pPr>
      <w:r>
        <w:rPr>
          <w:rFonts w:ascii="Calibri" w:hAnsi="Calibri"/>
          <w:b/>
          <w:i w:val="0"/>
          <w:color w:val="475569"/>
          <w:sz w:val="18"/>
        </w:rPr>
        <w:t>VALUE ESTIMATE: HOW THE $9–22M IS BUILT</w:t>
      </w:r>
    </w:p>
    <w:tbl>
      <w:tblPr>
        <w:tblStyle w:val="TableGrid"/>
        <w:tblW w:type="auto" w:w="0"/>
        <w:tblLook w:firstColumn="1" w:firstRow="1" w:lastColumn="0" w:lastRow="0" w:noHBand="0" w:noVBand="1" w:val="04A0"/>
      </w:tblPr>
      <w:tblGrid>
        <w:gridCol w:w="3135"/>
        <w:gridCol w:w="3135"/>
        <w:gridCol w:w="3135"/>
      </w:tblGrid>
      <w:tr>
        <w:tc>
          <w:tcPr>
            <w:tcW w:type="dxa" w:w="2592"/>
            <w:shd w:val="clear" w:color="auto" w:fill="1A1A1A"/>
          </w:tcPr>
          <w:p>
            <w:pPr>
              <w:spacing w:before="80" w:after="80"/>
              <w:ind w:left="80"/>
            </w:pPr>
            <w:r>
              <w:rPr>
                <w:rFonts w:ascii="Calibri" w:hAnsi="Calibri"/>
                <w:b/>
                <w:i w:val="0"/>
                <w:color w:val="FFFFFF"/>
                <w:sz w:val="18"/>
              </w:rPr>
              <w:t>Workstream</w:t>
            </w:r>
          </w:p>
        </w:tc>
        <w:tc>
          <w:tcPr>
            <w:tcW w:type="dxa" w:w="5040"/>
            <w:shd w:val="clear" w:color="auto" w:fill="1A1A1A"/>
          </w:tcPr>
          <w:p>
            <w:pPr>
              <w:spacing w:before="80" w:after="80"/>
              <w:ind w:left="80"/>
            </w:pPr>
            <w:r>
              <w:rPr>
                <w:rFonts w:ascii="Calibri" w:hAnsi="Calibri"/>
                <w:b/>
                <w:i w:val="0"/>
                <w:color w:val="FFFFFF"/>
                <w:sz w:val="18"/>
              </w:rPr>
              <w:t>Basis</w:t>
            </w:r>
          </w:p>
        </w:tc>
        <w:tc>
          <w:tcPr>
            <w:tcW w:type="dxa" w:w="1728"/>
            <w:shd w:val="clear" w:color="auto" w:fill="1A1A1A"/>
          </w:tcPr>
          <w:p>
            <w:pPr>
              <w:spacing w:before="80" w:after="80"/>
              <w:ind w:left="80"/>
            </w:pPr>
            <w:r>
              <w:rPr>
                <w:rFonts w:ascii="Calibri" w:hAnsi="Calibri"/>
                <w:b/>
                <w:i w:val="0"/>
                <w:color w:val="FFFFFF"/>
                <w:sz w:val="18"/>
              </w:rPr>
              <w:t>Annual Estimate</w:t>
            </w:r>
          </w:p>
        </w:tc>
      </w:tr>
      <w:tr>
        <w:tc>
          <w:tcPr>
            <w:tcW w:type="dxa" w:w="2592"/>
            <w:shd w:val="clear" w:color="auto" w:fill="FFFFFF"/>
          </w:tcPr>
          <w:p>
            <w:pPr>
              <w:spacing w:before="80" w:after="80"/>
              <w:ind w:left="80"/>
            </w:pPr>
            <w:r>
              <w:rPr>
                <w:rFonts w:ascii="Calibri" w:hAnsi="Calibri"/>
                <w:b/>
                <w:i w:val="0"/>
                <w:color w:val="1A1A1A"/>
                <w:sz w:val="18"/>
              </w:rPr>
              <w:t>Forecast accuracy improvement</w:t>
            </w:r>
          </w:p>
        </w:tc>
        <w:tc>
          <w:tcPr>
            <w:tcW w:type="dxa" w:w="5040"/>
            <w:shd w:val="clear" w:color="auto" w:fill="FFFFFF"/>
          </w:tcPr>
          <w:p>
            <w:pPr>
              <w:spacing w:before="80" w:after="80"/>
              <w:ind w:left="80"/>
            </w:pPr>
            <w:r>
              <w:rPr>
                <w:rFonts w:ascii="Calibri" w:hAnsi="Calibri"/>
                <w:b w:val="0"/>
                <w:i w:val="0"/>
                <w:color w:val="1A1A1A"/>
                <w:sz w:val="18"/>
              </w:rPr>
              <w:t>BUILT baseline 7–10% → Mo 4.4% = 2.6–5.6pp × $1M/pp industry benchmark</w:t>
            </w:r>
          </w:p>
        </w:tc>
        <w:tc>
          <w:tcPr>
            <w:tcW w:type="dxa" w:w="1728"/>
            <w:shd w:val="clear" w:color="auto" w:fill="FFFFFF"/>
          </w:tcPr>
          <w:p>
            <w:pPr>
              <w:spacing w:before="80" w:after="80"/>
              <w:ind w:left="80"/>
            </w:pPr>
            <w:r>
              <w:rPr>
                <w:rFonts w:ascii="Calibri" w:hAnsi="Calibri"/>
                <w:b w:val="0"/>
                <w:i w:val="0"/>
                <w:color w:val="1A1A1A"/>
                <w:sz w:val="18"/>
              </w:rPr>
              <w:t>$2.6M–$5.6M</w:t>
            </w:r>
          </w:p>
        </w:tc>
      </w:tr>
      <w:tr>
        <w:tc>
          <w:tcPr>
            <w:tcW w:type="dxa" w:w="2592"/>
            <w:shd w:val="clear" w:color="auto" w:fill="F9FAFB"/>
          </w:tcPr>
          <w:p>
            <w:pPr>
              <w:spacing w:before="80" w:after="80"/>
              <w:ind w:left="80"/>
            </w:pPr>
            <w:r>
              <w:rPr>
                <w:rFonts w:ascii="Calibri" w:hAnsi="Calibri"/>
                <w:b/>
                <w:i w:val="0"/>
                <w:color w:val="1A1A1A"/>
                <w:sz w:val="18"/>
              </w:rPr>
              <w:t>Trade spend optimization</w:t>
            </w:r>
          </w:p>
        </w:tc>
        <w:tc>
          <w:tcPr>
            <w:tcW w:type="dxa" w:w="5040"/>
            <w:shd w:val="clear" w:color="auto" w:fill="F9FAFB"/>
          </w:tcPr>
          <w:p>
            <w:pPr>
              <w:spacing w:before="80" w:after="80"/>
              <w:ind w:left="80"/>
            </w:pPr>
            <w:r>
              <w:rPr>
                <w:rFonts w:ascii="Calibri" w:hAnsi="Calibri"/>
                <w:b w:val="0"/>
                <w:i w:val="0"/>
                <w:color w:val="1A1A1A"/>
                <w:sz w:val="18"/>
              </w:rPr>
              <w:t>Elasticity-guided reallocation from low-elasticity (Walmart ε=−0.25) to high-elasticity accounts (Ahold ε=−1.26); estimated on BUILT’s trade spend base</w:t>
            </w:r>
          </w:p>
        </w:tc>
        <w:tc>
          <w:tcPr>
            <w:tcW w:type="dxa" w:w="1728"/>
            <w:shd w:val="clear" w:color="auto" w:fill="F9FAFB"/>
          </w:tcPr>
          <w:p>
            <w:pPr>
              <w:spacing w:before="80" w:after="80"/>
              <w:ind w:left="80"/>
            </w:pPr>
            <w:r>
              <w:rPr>
                <w:rFonts w:ascii="Calibri" w:hAnsi="Calibri"/>
                <w:b w:val="0"/>
                <w:i w:val="0"/>
                <w:color w:val="1A1A1A"/>
                <w:sz w:val="18"/>
              </w:rPr>
              <w:t>$3M–$8M</w:t>
            </w:r>
          </w:p>
        </w:tc>
      </w:tr>
      <w:tr>
        <w:tc>
          <w:tcPr>
            <w:tcW w:type="dxa" w:w="2592"/>
            <w:shd w:val="clear" w:color="auto" w:fill="FFFFFF"/>
          </w:tcPr>
          <w:p>
            <w:pPr>
              <w:spacing w:before="80" w:after="80"/>
              <w:ind w:left="80"/>
            </w:pPr>
            <w:r>
              <w:rPr>
                <w:rFonts w:ascii="Calibri" w:hAnsi="Calibri"/>
                <w:b/>
                <w:i w:val="0"/>
                <w:color w:val="1A1A1A"/>
                <w:sz w:val="18"/>
              </w:rPr>
              <w:t>Cannibalization avoidance</w:t>
            </w:r>
          </w:p>
        </w:tc>
        <w:tc>
          <w:tcPr>
            <w:tcW w:type="dxa" w:w="5040"/>
            <w:shd w:val="clear" w:color="auto" w:fill="FFFFFF"/>
          </w:tcPr>
          <w:p>
            <w:pPr>
              <w:spacing w:before="80" w:after="80"/>
              <w:ind w:left="80"/>
            </w:pPr>
            <w:r>
              <w:rPr>
                <w:rFonts w:ascii="Calibri" w:hAnsi="Calibri"/>
                <w:b w:val="0"/>
                <w:i w:val="0"/>
                <w:color w:val="1A1A1A"/>
                <w:sz w:val="18"/>
              </w:rPr>
              <w:t>Early detection prevents over-investment in launches that cannibalize existing products; estimated on BUILT’s 3–5 significant launch events per year</w:t>
            </w:r>
          </w:p>
        </w:tc>
        <w:tc>
          <w:tcPr>
            <w:tcW w:type="dxa" w:w="1728"/>
            <w:shd w:val="clear" w:color="auto" w:fill="FFFFFF"/>
          </w:tcPr>
          <w:p>
            <w:pPr>
              <w:spacing w:before="80" w:after="80"/>
              <w:ind w:left="80"/>
            </w:pPr>
            <w:r>
              <w:rPr>
                <w:rFonts w:ascii="Calibri" w:hAnsi="Calibri"/>
                <w:b w:val="0"/>
                <w:i w:val="0"/>
                <w:color w:val="1A1A1A"/>
                <w:sz w:val="18"/>
              </w:rPr>
              <w:t>$3M–$8M</w:t>
            </w:r>
          </w:p>
        </w:tc>
      </w:tr>
      <w:tr>
        <w:tc>
          <w:tcPr>
            <w:tcW w:type="dxa" w:w="2592"/>
            <w:shd w:val="clear" w:color="auto" w:fill="F9FAFB"/>
          </w:tcPr>
          <w:p>
            <w:pPr>
              <w:spacing w:before="80" w:after="80"/>
              <w:ind w:left="80"/>
            </w:pPr>
            <w:r>
              <w:rPr>
                <w:rFonts w:ascii="Calibri" w:hAnsi="Calibri"/>
                <w:b/>
                <w:i w:val="0"/>
                <w:color w:val="1A1A1A"/>
                <w:sz w:val="18"/>
              </w:rPr>
              <w:t>Combined (current signal set)</w:t>
            </w:r>
          </w:p>
        </w:tc>
        <w:tc>
          <w:tcPr>
            <w:tcW w:type="dxa" w:w="5040"/>
            <w:shd w:val="clear" w:color="auto" w:fill="F9FAFB"/>
          </w:tcPr>
          <w:p>
            <w:pPr>
              <w:spacing w:before="80" w:after="80"/>
              <w:ind w:left="80"/>
            </w:pPr>
            <w:r>
              <w:rPr>
                <w:rFonts w:ascii="Calibri" w:hAnsi="Calibri"/>
                <w:b w:val="0"/>
                <w:i/>
                <w:color w:val="475569"/>
                <w:sz w:val="18"/>
              </w:rPr>
              <w:t>Conservative to midpoint range; upper bound as promo calendar and additional inputs are integrated</w:t>
            </w:r>
          </w:p>
        </w:tc>
        <w:tc>
          <w:tcPr>
            <w:tcW w:type="dxa" w:w="1728"/>
            <w:shd w:val="clear" w:color="auto" w:fill="F9FAFB"/>
          </w:tcPr>
          <w:p>
            <w:pPr>
              <w:spacing w:before="80" w:after="80"/>
              <w:ind w:left="80"/>
            </w:pPr>
            <w:r>
              <w:rPr>
                <w:rFonts w:ascii="Calibri" w:hAnsi="Calibri"/>
                <w:b w:val="0"/>
                <w:i w:val="0"/>
                <w:color w:val="1A1A1A"/>
                <w:sz w:val="18"/>
              </w:rPr>
              <w:t>$8.6M–$21.6M</w:t>
            </w:r>
          </w:p>
        </w:tc>
      </w:tr>
    </w:tbl>
    <w:p>
      <w:pPr>
        <w:spacing w:before="0" w:after="0"/>
      </w:pPr>
      <w:r>
        <w:rPr>
          <w:sz w:val="20"/>
        </w:rPr>
      </w:r>
    </w:p>
    <w:p>
      <w:pPr>
        <w:spacing w:before="0" w:after="240"/>
      </w:pPr>
      <w:r>
        <w:rPr>
          <w:rFonts w:ascii="Calibri" w:hAnsi="Calibri"/>
          <w:b w:val="0"/>
          <w:i w:val="0"/>
          <w:color w:val="475569"/>
          <w:sz w:val="16"/>
        </w:rPr>
        <w:t>$1M per 1pp is a widely cited CPG industry benchmark based on the relationship between forecast error and working capital, expedite costs, and markdown recovery at revenue scales similar to BUILT’s. Component estimates are directional; Aevah can model BUILT-specific values once current trade spend and launch budgets are shared.</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val="clear" w:color="auto" w:fill="F9FAFB"/>
            <w:tcBorders>
              <w:top w:val="single" w:sz="4" w:space="0" w:color="1A1A1A"/>
              <w:right w:val="single" w:sz="4" w:space="0" w:color="1A1A1A"/>
              <w:bottom w:val="single" w:sz="4" w:space="0" w:color="1A1A1A"/>
              <w:left w:val="single" w:sz="18" w:space="0" w:color="1A1A1A"/>
            </w:tcBorders>
          </w:tcPr>
          <w:p>
            <w:pPr>
              <w:spacing w:before="160" w:after="80"/>
              <w:ind w:left="160" w:right="160"/>
            </w:pPr>
            <w:r>
              <w:rPr>
                <w:rFonts w:ascii="Calibri" w:hAnsi="Calibri"/>
                <w:b/>
                <w:i w:val="0"/>
                <w:color w:val="1A1A1A"/>
                <w:sz w:val="20"/>
              </w:rPr>
              <w:t xml:space="preserve">Analyst Capacity: What Can Actually Be Done Today </w:t>
            </w:r>
            <w:r>
              <w:rPr>
                <w:rFonts w:ascii="Calibri" w:hAnsi="Calibri"/>
                <w:b w:val="0"/>
                <w:i w:val="0"/>
                <w:color w:val="1A1A1A"/>
                <w:sz w:val="20"/>
              </w:rPr>
              <w:t xml:space="preserve">Brian’s analytics team runs approximately </w:t>
            </w:r>
            <w:r>
              <w:rPr>
                <w:rFonts w:ascii="Calibri" w:hAnsi="Calibri"/>
                <w:b/>
                <w:i w:val="0"/>
                <w:color w:val="1A1A1A"/>
                <w:sz w:val="20"/>
              </w:rPr>
              <w:t>40 analyst hours</w:t>
            </w:r>
            <w:r>
              <w:rPr>
                <w:rFonts w:ascii="Calibri" w:hAnsi="Calibri"/>
                <w:b w:val="0"/>
                <w:i w:val="0"/>
                <w:color w:val="1A1A1A"/>
                <w:sz w:val="20"/>
              </w:rPr>
              <w:t xml:space="preserve"> per four-week cycle. FP&amp;A contributes another </w:t>
            </w:r>
            <w:r>
              <w:rPr>
                <w:rFonts w:ascii="Calibri" w:hAnsi="Calibri"/>
                <w:b/>
                <w:i w:val="0"/>
                <w:color w:val="1A1A1A"/>
                <w:sz w:val="20"/>
              </w:rPr>
              <w:t>40 hours</w:t>
            </w:r>
            <w:r>
              <w:rPr>
                <w:rFonts w:ascii="Calibri" w:hAnsi="Calibri"/>
                <w:b w:val="0"/>
                <w:i w:val="0"/>
                <w:color w:val="1A1A1A"/>
                <w:sz w:val="20"/>
              </w:rPr>
              <w:t>. That is 80 combined hours available for demand intelligence work each cycle.</w:t>
            </w:r>
          </w:p>
          <w:p>
            <w:pPr>
              <w:spacing w:before="40" w:after="80"/>
              <w:ind w:left="160" w:right="160"/>
            </w:pPr>
            <w:r>
              <w:rPr>
                <w:rFonts w:ascii="Calibri" w:hAnsi="Calibri"/>
                <w:b w:val="0"/>
                <w:i w:val="0"/>
                <w:color w:val="1A1A1A"/>
                <w:sz w:val="20"/>
              </w:rPr>
              <w:t xml:space="preserve">To recreate Mo’s core analysis workstreams manually — per-SKU × retailer forecasting, cannibalization scoring across the portfolio, and elasticity validation against price events — would require an estimated </w:t>
            </w:r>
            <w:r>
              <w:rPr>
                <w:rFonts w:ascii="Calibri" w:hAnsi="Calibri"/>
                <w:b/>
                <w:i w:val="0"/>
                <w:color w:val="1A1A1A"/>
                <w:sz w:val="20"/>
              </w:rPr>
              <w:t>250–535 additional analyst hours per cycle</w:t>
            </w:r>
            <w:r>
              <w:rPr>
                <w:rFonts w:ascii="Calibri" w:hAnsi="Calibri"/>
                <w:b w:val="0"/>
                <w:i w:val="0"/>
                <w:color w:val="1A1A1A"/>
                <w:sz w:val="20"/>
              </w:rPr>
              <w:t>. That analysis is structurally out of reach without a significant headcount expansion.</w:t>
            </w:r>
          </w:p>
          <w:p>
            <w:pPr>
              <w:spacing w:before="40" w:after="80"/>
              <w:ind w:left="160" w:right="160"/>
            </w:pPr>
            <w:r>
              <w:rPr>
                <w:rFonts w:ascii="Calibri" w:hAnsi="Calibri"/>
                <w:b w:val="0"/>
                <w:i/>
                <w:color w:val="444444"/>
                <w:sz w:val="20"/>
              </w:rPr>
              <w:t>Mo does not replace what your team does today. It delivers analysis that your team cannot do at current scale — which is exactly where compounding value lives.</w:t>
            </w:r>
          </w:p>
          <w:p>
            <w:pPr>
              <w:spacing w:before="0" w:after="120"/>
            </w:pPr>
          </w:p>
        </w:tc>
      </w:tr>
    </w:tbl>
    <w:p>
      <w:pPr>
        <w:spacing w:before="0" w:after="0"/>
      </w:pPr>
      <w:r>
        <w:rPr>
          <w:sz w:val="16"/>
        </w:rPr>
      </w:r>
    </w:p>
    <w:p>
      <w:pPr>
        <w:spacing w:before="360" w:after="60"/>
        <w:shd w:val="clear" w:color="auto" w:fill="E2E8F0"/>
      </w:pPr>
      <w:r>
        <w:rPr>
          <w:rFonts w:ascii="Calibri" w:hAnsi="Calibri"/>
          <w:b/>
          <w:i w:val="0"/>
          <w:color w:val="1A1A1A"/>
          <w:sz w:val="16"/>
        </w:rPr>
        <w:t xml:space="preserve">  FORECASTING FOUNDATION  </w:t>
      </w:r>
    </w:p>
    <w:p>
      <w:pPr>
        <w:spacing w:before="80" w:after="200"/>
        <w:pBdr>
          <w:bottom w:val="single" w:sz="6" w:space="4" w:color="1A1A1A"/>
        </w:pBdr>
      </w:pPr>
      <w:r>
        <w:rPr>
          <w:rFonts w:ascii="Calibri" w:hAnsi="Calibri"/>
          <w:b/>
          <w:i w:val="0"/>
          <w:color w:val="1A1A1A"/>
          <w:sz w:val="30"/>
        </w:rPr>
        <w:t>The Forecasting Foundation</w:t>
      </w:r>
    </w:p>
    <w:p>
      <w:pPr>
        <w:spacing w:before="0" w:after="200"/>
      </w:pPr>
      <w:r>
        <w:rPr>
          <w:rFonts w:ascii="Calibri" w:hAnsi="Calibri"/>
          <w:b w:val="0"/>
          <w:i w:val="0"/>
          <w:color w:val="1A1A1A"/>
          <w:sz w:val="22"/>
        </w:rPr>
        <w:t>SPINS Point-of-Sale data alone — using statistical methods — can get weighted forecast error (wMAPE) to around 13.1% across the portfolio. BUILT’s current process, aggregating data across accounts and SKUs, achieves a strong 7–10% at the corporate level. Mo goes further: by unifying all available data sources with a blended machine learning ensemble, Aevah reached 4.4% wMAPE in Q1 2026 on a 13-week hold-out across 164 active series. The goal is to continuously extend that precision down to individual SKU × retailer detail — compounding accuracy with every four-week retraining cycle.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val="clear" w:color="auto" w:fill="F0FDF4"/>
            <w:tcBorders>
              <w:top w:val="single" w:sz="4" w:space="0" w:color="16A34A"/>
              <w:right w:val="single" w:sz="4" w:space="0" w:color="16A34A"/>
              <w:bottom w:val="single" w:sz="4" w:space="0" w:color="16A34A"/>
              <w:left w:val="single" w:sz="18" w:space="0" w:color="16A34A"/>
            </w:tcBorders>
          </w:tcPr>
          <w:p>
            <w:pPr>
              <w:spacing w:before="160" w:after="80"/>
              <w:ind w:left="160" w:right="160"/>
            </w:pPr>
            <w:r>
              <w:rPr>
                <w:rFonts w:ascii="Calibri" w:hAnsi="Calibri"/>
                <w:b/>
                <w:i w:val="0"/>
                <w:color w:val="1A1A1A"/>
                <w:sz w:val="20"/>
              </w:rPr>
              <w:t xml:space="preserve">What continuous retraining delivers: </w:t>
            </w:r>
            <w:r>
              <w:rPr>
                <w:rFonts w:ascii="Calibri" w:hAnsi="Calibri"/>
                <w:b w:val="0"/>
                <w:i w:val="0"/>
                <w:color w:val="1A1A1A"/>
                <w:sz w:val="20"/>
              </w:rPr>
              <w:t>Every four-week SPINS cycle, Mo retrains on the latest data — so accuracy reflects the current portfolio, not a model built six months ago. In testing, a stale model degraded nearly 18 percentage points versus a freshly retrained one. Your team gets a forecast signal that keeps pace with BUILT’s rapid SKU launches, retailer resets, and distribution changes — automatically, without additional analyst effort.</w:t>
            </w:r>
          </w:p>
          <w:p>
            <w:pPr>
              <w:spacing w:before="0" w:after="120"/>
            </w:pPr>
          </w:p>
        </w:tc>
      </w:tr>
    </w:tbl>
    <w:p>
      <w:pPr>
        <w:spacing w:before="0" w:after="0"/>
      </w:pPr>
      <w:r>
        <w:rPr>
          <w:sz w:val="16"/>
        </w:rPr>
      </w:r>
    </w:p>
    <w:p>
      <w:pPr>
        <w:spacing w:before="280" w:after="120"/>
      </w:pPr>
      <w:r>
        <w:rPr>
          <w:rFonts w:ascii="Calibri" w:hAnsi="Calibri"/>
          <w:b/>
          <w:i w:val="0"/>
          <w:color w:val="475569"/>
          <w:sz w:val="18"/>
        </w:rPr>
        <w:t>13-WEEK RETAILER FORECAST — FLOOR · PLAN · CEILING</w:t>
      </w:r>
    </w:p>
    <w:p>
      <w:pPr>
        <w:spacing w:before="0" w:after="160"/>
      </w:pPr>
      <w:r>
        <w:rPr>
          <w:rFonts w:ascii="Calibri" w:hAnsi="Calibri"/>
          <w:b w:val="0"/>
          <w:i/>
          <w:color w:val="94A3B8"/>
          <w:sz w:val="18"/>
        </w:rPr>
        <w:t>[Chart: Figure 1 — Retailer-level 13-week forward projection (top 6 accounts by volume). Dark line = last known SPINS week. Shaded band = q10–q90 demand range. Dashed center = q50 operating plan. Each panel is a separate model series.]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val="clear" w:color="auto" w:fill="F8FAFC"/>
            <w:tcBorders>
              <w:top w:val="single" w:sz="4" w:space="0" w:color="CBD5E1"/>
              <w:right w:val="single" w:sz="4" w:space="0" w:color="CBD5E1"/>
              <w:bottom w:val="single" w:sz="4" w:space="0" w:color="CBD5E1"/>
              <w:left w:val="single" w:sz="18" w:space="0" w:color="CBD5E1"/>
            </w:tcBorders>
          </w:tcPr>
          <w:p>
            <w:pPr>
              <w:spacing w:before="160" w:after="80"/>
              <w:ind w:left="160" w:right="160"/>
            </w:pPr>
            <w:r>
              <w:rPr>
                <w:rFonts w:ascii="Calibri" w:hAnsi="Calibri"/>
                <w:b/>
                <w:i w:val="0"/>
                <w:color w:val="1A1A1A"/>
                <w:sz w:val="20"/>
              </w:rPr>
              <w:t xml:space="preserve">Supply chain payoff: </w:t>
            </w:r>
            <w:r>
              <w:rPr>
                <w:rFonts w:ascii="Calibri" w:hAnsi="Calibri"/>
                <w:b w:val="0"/>
                <w:i w:val="0"/>
                <w:color w:val="1A1A1A"/>
                <w:sz w:val="20"/>
              </w:rPr>
              <w:t>Three numbers per account, not one. Floor drives safety stock. Ceiling drives capacity reservation. Center drives the operating plan. When a single number is wrong, the entire inventory position is wrong. A calibrated range lets your team plan around realistic upside and downside simultaneously.</w:t>
            </w:r>
          </w:p>
          <w:p>
            <w:pPr>
              <w:spacing w:before="0" w:after="120"/>
            </w:pPr>
          </w:p>
        </w:tc>
      </w:tr>
    </w:tbl>
    <w:p>
      <w:pPr>
        <w:spacing w:before="0" w:after="0"/>
      </w:pPr>
      <w:r>
        <w:rPr>
          <w:sz w:val="16"/>
        </w:rPr>
      </w:r>
    </w:p>
    <w:p>
      <w:pPr>
        <w:spacing w:before="280" w:after="120"/>
      </w:pPr>
      <w:r>
        <w:rPr>
          <w:rFonts w:ascii="Calibri" w:hAnsi="Calibri"/>
          <w:b/>
          <w:i w:val="0"/>
          <w:color w:val="475569"/>
          <w:sz w:val="18"/>
        </w:rPr>
        <w:t>A CONTINUOUSLY IMPROVING ENSEMBLE</w:t>
      </w:r>
    </w:p>
    <w:p>
      <w:pPr>
        <w:spacing w:before="0" w:after="160"/>
      </w:pPr>
      <w:r>
        <w:rPr>
          <w:rFonts w:ascii="Calibri" w:hAnsi="Calibri"/>
          <w:b w:val="0"/>
          <w:i w:val="0"/>
          <w:color w:val="475569"/>
          <w:sz w:val="20"/>
        </w:rPr>
        <w:t>What is an ensemble model? An ensemble combines multiple specialized models — each optimized for a different aspect of the forecasting problem — into one more accurate signal. Rather than relying on any single approach, the ensemble routes each forecast series through the methods that work best for that type of series and blends the results. The same principle applies in financial forecasting: combining multiple well-reasoned perspectives consistently outperforms any single forecast alone.</w:t>
      </w:r>
    </w:p>
    <w:p>
      <w:pPr>
        <w:spacing w:before="0" w:after="240"/>
      </w:pPr>
      <w:r>
        <w:rPr>
          <w:rFonts w:ascii="Calibri" w:hAnsi="Calibri"/>
          <w:b w:val="0"/>
          <w:i w:val="0"/>
          <w:color w:val="475569"/>
          <w:sz w:val="20"/>
        </w:rPr>
        <w:t>Mo’s ensemble uses three layers working together: Light Gradient Boosting Machine (LightGBM) handles the core demand signal using 27+ SPINS-derived features. Bayesian Structural Time Series / CausalImpact (BSTS) isolates the causal effect of specific price and promotion events. SHapley Additive exPlanations (SHAP) translates every prediction into a ranked list of business drivers in plain English. The ensemble retrains every four weeks as new SPINS data arrives — matching your own planning cycle — so accuracy compounds rather than decays.</w:t>
      </w:r>
    </w:p>
    <w:tbl>
      <w:tblPr>
        <w:tblStyle w:val="TableGrid"/>
        <w:tblW w:type="auto" w:w="0"/>
        <w:tblLook w:firstColumn="1" w:firstRow="1" w:lastColumn="0" w:lastRow="0" w:noHBand="0" w:noVBand="1" w:val="04A0"/>
      </w:tblPr>
      <w:tblGrid>
        <w:gridCol w:w="3135"/>
        <w:gridCol w:w="3135"/>
        <w:gridCol w:w="3135"/>
      </w:tblGrid>
      <w:tr>
        <w:tc>
          <w:tcPr>
            <w:tcW w:type="dxa" w:w="2880"/>
            <w:shd w:val="clear" w:color="auto" w:fill="1A1A1A"/>
          </w:tcPr>
          <w:p>
            <w:pPr>
              <w:spacing w:before="80" w:after="80"/>
              <w:ind w:left="80"/>
            </w:pPr>
            <w:r>
              <w:rPr>
                <w:rFonts w:ascii="Calibri" w:hAnsi="Calibri"/>
                <w:b/>
                <w:i w:val="0"/>
                <w:color w:val="FFFFFF"/>
                <w:sz w:val="18"/>
              </w:rPr>
              <w:t>Model Layer</w:t>
            </w:r>
          </w:p>
        </w:tc>
        <w:tc>
          <w:tcPr>
            <w:tcW w:type="dxa" w:w="3946"/>
            <w:shd w:val="clear" w:color="auto" w:fill="1A1A1A"/>
          </w:tcPr>
          <w:p>
            <w:pPr>
              <w:spacing w:before="80" w:after="80"/>
              <w:ind w:left="80"/>
            </w:pPr>
            <w:r>
              <w:rPr>
                <w:rFonts w:ascii="Calibri" w:hAnsi="Calibri"/>
                <w:b/>
                <w:i w:val="0"/>
                <w:color w:val="FFFFFF"/>
                <w:sz w:val="18"/>
              </w:rPr>
              <w:t>What It Contributes</w:t>
            </w:r>
          </w:p>
        </w:tc>
        <w:tc>
          <w:tcPr>
            <w:tcW w:type="dxa" w:w="2592"/>
            <w:shd w:val="clear" w:color="auto" w:fill="1A1A1A"/>
          </w:tcPr>
          <w:p>
            <w:pPr>
              <w:spacing w:before="80" w:after="80"/>
              <w:ind w:left="80"/>
            </w:pPr>
            <w:r>
              <w:rPr>
                <w:rFonts w:ascii="Calibri" w:hAnsi="Calibri"/>
                <w:b/>
                <w:i w:val="0"/>
                <w:color w:val="FFFFFF"/>
                <w:sz w:val="18"/>
              </w:rPr>
              <w:t>FP&amp;A Benefit</w:t>
            </w:r>
          </w:p>
        </w:tc>
      </w:tr>
      <w:tr>
        <w:tc>
          <w:tcPr>
            <w:tcW w:type="dxa" w:w="2880"/>
            <w:shd w:val="clear" w:color="auto" w:fill="FFFFFF"/>
          </w:tcPr>
          <w:p>
            <w:pPr>
              <w:spacing w:before="80" w:after="80"/>
              <w:ind w:left="80"/>
            </w:pPr>
            <w:r>
              <w:rPr>
                <w:rFonts w:ascii="Calibri" w:hAnsi="Calibri"/>
                <w:b/>
                <w:i w:val="0"/>
                <w:color w:val="1A1A1A"/>
                <w:sz w:val="18"/>
              </w:rPr>
              <w:t>LightGBM (quantile)</w:t>
            </w:r>
          </w:p>
        </w:tc>
        <w:tc>
          <w:tcPr>
            <w:tcW w:type="dxa" w:w="3946"/>
            <w:shd w:val="clear" w:color="auto" w:fill="FFFFFF"/>
          </w:tcPr>
          <w:p>
            <w:pPr>
              <w:spacing w:before="80" w:after="80"/>
              <w:ind w:left="80"/>
            </w:pPr>
            <w:r>
              <w:rPr>
                <w:rFonts w:ascii="Calibri" w:hAnsi="Calibri"/>
                <w:b w:val="0"/>
                <w:i w:val="0"/>
                <w:color w:val="1A1A1A"/>
                <w:sz w:val="18"/>
              </w:rPr>
              <w:t>P10/P50/P90 demand forecast using distribution, velocity, price, promo, seasonality</w:t>
            </w:r>
          </w:p>
        </w:tc>
        <w:tc>
          <w:tcPr>
            <w:tcW w:type="dxa" w:w="2592"/>
            <w:shd w:val="clear" w:color="auto" w:fill="FFFFFF"/>
          </w:tcPr>
          <w:p>
            <w:pPr>
              <w:spacing w:before="80" w:after="80"/>
              <w:ind w:left="80"/>
            </w:pPr>
            <w:r>
              <w:rPr>
                <w:rFonts w:ascii="Calibri" w:hAnsi="Calibri"/>
                <w:b w:val="0"/>
                <w:i w:val="0"/>
                <w:color w:val="1A1A1A"/>
                <w:sz w:val="18"/>
              </w:rPr>
              <w:t>Calibrated floor/plan/ceiling for every SKU × retailer</w:t>
            </w:r>
          </w:p>
        </w:tc>
      </w:tr>
      <w:tr>
        <w:tc>
          <w:tcPr>
            <w:tcW w:type="dxa" w:w="2880"/>
            <w:shd w:val="clear" w:color="auto" w:fill="F9FAFB"/>
          </w:tcPr>
          <w:p>
            <w:pPr>
              <w:spacing w:before="80" w:after="80"/>
              <w:ind w:left="80"/>
            </w:pPr>
            <w:r>
              <w:rPr>
                <w:rFonts w:ascii="Calibri" w:hAnsi="Calibri"/>
                <w:b/>
                <w:i w:val="0"/>
                <w:color w:val="1A1A1A"/>
                <w:sz w:val="18"/>
              </w:rPr>
              <w:t>Bayesian Structural Time Series / CausalImpact (BSTS)</w:t>
            </w:r>
          </w:p>
        </w:tc>
        <w:tc>
          <w:tcPr>
            <w:tcW w:type="dxa" w:w="3946"/>
            <w:shd w:val="clear" w:color="auto" w:fill="F9FAFB"/>
          </w:tcPr>
          <w:p>
            <w:pPr>
              <w:spacing w:before="80" w:after="80"/>
              <w:ind w:left="80"/>
            </w:pPr>
            <w:r>
              <w:rPr>
                <w:rFonts w:ascii="Calibri" w:hAnsi="Calibri"/>
                <w:b w:val="0"/>
                <w:i w:val="0"/>
                <w:color w:val="1A1A1A"/>
                <w:sz w:val="18"/>
              </w:rPr>
              <w:t>Bayesian counterfactual: what would demand have been without a specific price or promo event?</w:t>
            </w:r>
          </w:p>
        </w:tc>
        <w:tc>
          <w:tcPr>
            <w:tcW w:type="dxa" w:w="2592"/>
            <w:shd w:val="clear" w:color="auto" w:fill="F9FAFB"/>
          </w:tcPr>
          <w:p>
            <w:pPr>
              <w:spacing w:before="80" w:after="80"/>
              <w:ind w:left="80"/>
            </w:pPr>
            <w:r>
              <w:rPr>
                <w:rFonts w:ascii="Calibri" w:hAnsi="Calibri"/>
                <w:b w:val="0"/>
                <w:i w:val="0"/>
                <w:color w:val="1A1A1A"/>
                <w:sz w:val="18"/>
              </w:rPr>
              <w:t>Validates trade spend ROI with causal evidence, not correlation</w:t>
            </w:r>
          </w:p>
        </w:tc>
      </w:tr>
      <w:tr>
        <w:tc>
          <w:tcPr>
            <w:tcW w:type="dxa" w:w="2880"/>
            <w:shd w:val="clear" w:color="auto" w:fill="FFFFFF"/>
          </w:tcPr>
          <w:p>
            <w:pPr>
              <w:spacing w:before="80" w:after="80"/>
              <w:ind w:left="80"/>
            </w:pPr>
            <w:r>
              <w:rPr>
                <w:rFonts w:ascii="Calibri" w:hAnsi="Calibri"/>
                <w:b/>
                <w:i w:val="0"/>
                <w:color w:val="1A1A1A"/>
                <w:sz w:val="18"/>
              </w:rPr>
              <w:t>SHAP (SHapley Additive exPlanations)</w:t>
            </w:r>
          </w:p>
        </w:tc>
        <w:tc>
          <w:tcPr>
            <w:tcW w:type="dxa" w:w="3946"/>
            <w:shd w:val="clear" w:color="auto" w:fill="FFFFFF"/>
          </w:tcPr>
          <w:p>
            <w:pPr>
              <w:spacing w:before="80" w:after="80"/>
              <w:ind w:left="80"/>
            </w:pPr>
            <w:r>
              <w:rPr>
                <w:rFonts w:ascii="Calibri" w:hAnsi="Calibri"/>
                <w:b w:val="0"/>
                <w:i w:val="0"/>
                <w:color w:val="1A1A1A"/>
                <w:sz w:val="18"/>
              </w:rPr>
              <w:t>Ranks the contribution of every feature to every forecast — in plain-English business terms</w:t>
            </w:r>
          </w:p>
        </w:tc>
        <w:tc>
          <w:tcPr>
            <w:tcW w:type="dxa" w:w="2592"/>
            <w:shd w:val="clear" w:color="auto" w:fill="FFFFFF"/>
          </w:tcPr>
          <w:p>
            <w:pPr>
              <w:spacing w:before="80" w:after="80"/>
              <w:ind w:left="80"/>
            </w:pPr>
            <w:r>
              <w:rPr>
                <w:rFonts w:ascii="Calibri" w:hAnsi="Calibri"/>
                <w:b w:val="0"/>
                <w:i w:val="0"/>
                <w:color w:val="1A1A1A"/>
                <w:sz w:val="18"/>
              </w:rPr>
              <w:t>Every prediction has an auditable paper trail your finance team can inspect</w:t>
            </w:r>
          </w:p>
        </w:tc>
      </w:tr>
      <w:tr>
        <w:tc>
          <w:tcPr>
            <w:tcW w:type="dxa" w:w="2880"/>
            <w:shd w:val="clear" w:color="auto" w:fill="F9FAFB"/>
          </w:tcPr>
          <w:p>
            <w:pPr>
              <w:spacing w:before="80" w:after="80"/>
              <w:ind w:left="80"/>
            </w:pPr>
            <w:r>
              <w:rPr>
                <w:rFonts w:ascii="Calibri" w:hAnsi="Calibri"/>
                <w:b/>
                <w:i w:val="0"/>
                <w:color w:val="1A1A1A"/>
                <w:sz w:val="18"/>
              </w:rPr>
              <w:t>4-week retraining</w:t>
            </w:r>
          </w:p>
        </w:tc>
        <w:tc>
          <w:tcPr>
            <w:tcW w:type="dxa" w:w="3946"/>
            <w:shd w:val="clear" w:color="auto" w:fill="F9FAFB"/>
          </w:tcPr>
          <w:p>
            <w:pPr>
              <w:spacing w:before="80" w:after="80"/>
              <w:ind w:left="80"/>
            </w:pPr>
            <w:r>
              <w:rPr>
                <w:rFonts w:ascii="Calibri" w:hAnsi="Calibri"/>
                <w:b w:val="0"/>
                <w:i w:val="0"/>
                <w:color w:val="1A1A1A"/>
                <w:sz w:val="18"/>
              </w:rPr>
              <w:t>Rolling window retrain each SPINS cycle; stale model degrades ~18pp without it</w:t>
            </w:r>
          </w:p>
        </w:tc>
        <w:tc>
          <w:tcPr>
            <w:tcW w:type="dxa" w:w="2592"/>
            <w:shd w:val="clear" w:color="auto" w:fill="F9FAFB"/>
          </w:tcPr>
          <w:p>
            <w:pPr>
              <w:spacing w:before="80" w:after="80"/>
              <w:ind w:left="80"/>
            </w:pPr>
            <w:r>
              <w:rPr>
                <w:rFonts w:ascii="Calibri" w:hAnsi="Calibri"/>
                <w:b w:val="0"/>
                <w:i w:val="0"/>
                <w:color w:val="1A1A1A"/>
                <w:sz w:val="18"/>
              </w:rPr>
              <w:t>Accuracy stays current as SKUs launch, retailers reset, and your portfolio grows</w:t>
            </w:r>
          </w:p>
        </w:tc>
      </w:tr>
    </w:tbl>
    <w:p>
      <w:pPr>
        <w:spacing w:before="0" w:after="0"/>
      </w:pPr>
      <w:r>
        <w:rPr>
          <w:sz w:val="20"/>
        </w:rPr>
      </w:r>
    </w:p>
    <w:p>
      <w:pPr>
        <w:spacing w:before="360" w:after="60"/>
        <w:shd w:val="clear" w:color="auto" w:fill="F0FDF4"/>
      </w:pPr>
      <w:r>
        <w:rPr>
          <w:rFonts w:ascii="Calibri" w:hAnsi="Calibri"/>
          <w:b/>
          <w:i w:val="0"/>
          <w:color w:val="15803D"/>
          <w:sz w:val="16"/>
        </w:rPr>
        <w:t xml:space="preserve">  CANNIBALIZATION INTELLIGENCE  </w:t>
      </w:r>
    </w:p>
    <w:p>
      <w:pPr>
        <w:spacing w:before="80" w:after="200"/>
        <w:pBdr>
          <w:bottom w:val="single" w:sz="6" w:space="4" w:color="1A1A1A"/>
        </w:pBdr>
      </w:pPr>
      <w:r>
        <w:rPr>
          <w:rFonts w:ascii="Calibri" w:hAnsi="Calibri"/>
          <w:b/>
          <w:i w:val="0"/>
          <w:color w:val="1A1A1A"/>
          <w:sz w:val="30"/>
        </w:rPr>
        <w:t>Cannibalization Detection</w:t>
      </w:r>
    </w:p>
    <w:p>
      <w:pPr>
        <w:spacing w:before="0" w:after="200"/>
      </w:pPr>
      <w:r>
        <w:rPr>
          <w:rFonts w:ascii="Calibri" w:hAnsi="Calibri"/>
          <w:b w:val="0"/>
          <w:i w:val="0"/>
          <w:color w:val="1A1A1A"/>
          <w:sz w:val="22"/>
        </w:rPr>
        <w:t>BUILT expanded from roughly 3.5 SKUs to 7.5 SKUs in a year and is still growing. Every new launch creates the same FP&amp;A question: are those units incremental demand, or are they transferring volume from an existing BUILT product? Answering it wrong leads to overstated forecasts, excess inventory commitments, and trade spend on launches that are eating your own portfolio. Mo tracks 8-week rolling SKU-to-SKU pressure signals across the entire portfolio — giving your team an early read before the miss shows up in a quarterly revenue call.</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val="clear" w:color="auto" w:fill="F0FDF4"/>
            <w:tcBorders>
              <w:top w:val="single" w:sz="4" w:space="0" w:color="16A34A"/>
              <w:right w:val="single" w:sz="4" w:space="0" w:color="16A34A"/>
              <w:bottom w:val="single" w:sz="4" w:space="0" w:color="16A34A"/>
              <w:left w:val="single" w:sz="18" w:space="0" w:color="16A34A"/>
            </w:tcBorders>
          </w:tcPr>
          <w:p>
            <w:pPr>
              <w:spacing w:before="160" w:after="80"/>
              <w:ind w:left="160" w:right="160"/>
            </w:pPr>
            <w:r>
              <w:rPr>
                <w:rFonts w:ascii="Calibri" w:hAnsi="Calibri"/>
                <w:b/>
                <w:i w:val="0"/>
                <w:color w:val="1A1A1A"/>
                <w:sz w:val="20"/>
              </w:rPr>
              <w:t xml:space="preserve">What Mo measures: </w:t>
            </w:r>
            <w:r>
              <w:rPr>
                <w:rFonts w:ascii="Calibri" w:hAnsi="Calibri"/>
                <w:b w:val="0"/>
                <w:i w:val="0"/>
                <w:color w:val="1A1A1A"/>
                <w:sz w:val="20"/>
              </w:rPr>
              <w:t>8-week Pearson correlation between co-stocked BUILT SKUs at the same retailer. A consistently negative co-movement signal — one SKU rising as another falls — is flagged as cannibalization pressure. Strength, direction, and confidence evolve weekly as the sales pattern matures.</w:t>
            </w:r>
          </w:p>
          <w:p>
            <w:pPr>
              <w:spacing w:before="0" w:after="120"/>
            </w:pPr>
          </w:p>
        </w:tc>
      </w:tr>
    </w:tbl>
    <w:p>
      <w:pPr>
        <w:spacing w:before="0" w:after="0"/>
      </w:pPr>
      <w:r>
        <w:rPr>
          <w:sz w:val="16"/>
        </w:rPr>
      </w:r>
    </w:p>
    <w:p>
      <w:pPr>
        <w:spacing w:before="280" w:after="120"/>
      </w:pPr>
      <w:r>
        <w:rPr>
          <w:rFonts w:ascii="Calibri" w:hAnsi="Calibri"/>
          <w:b/>
          <w:i w:val="0"/>
          <w:color w:val="475569"/>
          <w:sz w:val="18"/>
        </w:rPr>
        <w:t>WHERE CANNIBALIZATION SHOWS UP IN YOUR FP&amp;A WORK</w:t>
      </w:r>
    </w:p>
    <w:tbl>
      <w:tblPr>
        <w:tblStyle w:val="TableGrid"/>
        <w:tblW w:type="auto" w:w="0"/>
        <w:tblLook w:firstColumn="1" w:firstRow="1" w:lastColumn="0" w:lastRow="0" w:noHBand="0" w:noVBand="1" w:val="04A0"/>
      </w:tblPr>
      <w:tblGrid>
        <w:gridCol w:w="3135"/>
        <w:gridCol w:w="3135"/>
        <w:gridCol w:w="3135"/>
      </w:tblGrid>
      <w:tr>
        <w:tc>
          <w:tcPr>
            <w:tcW w:type="dxa" w:w="2448"/>
            <w:shd w:val="clear" w:color="auto" w:fill="1A1A1A"/>
          </w:tcPr>
          <w:p>
            <w:pPr>
              <w:spacing w:before="80" w:after="80"/>
              <w:ind w:left="80"/>
            </w:pPr>
            <w:r>
              <w:rPr>
                <w:rFonts w:ascii="Calibri" w:hAnsi="Calibri"/>
                <w:b/>
                <w:i w:val="0"/>
                <w:color w:val="FFFFFF"/>
                <w:sz w:val="18"/>
              </w:rPr>
              <w:t>FP&amp;A Scenario</w:t>
            </w:r>
          </w:p>
        </w:tc>
        <w:tc>
          <w:tcPr>
            <w:tcW w:type="dxa" w:w="3485"/>
            <w:shd w:val="clear" w:color="auto" w:fill="1A1A1A"/>
          </w:tcPr>
          <w:p>
            <w:pPr>
              <w:spacing w:before="80" w:after="80"/>
              <w:ind w:left="80"/>
            </w:pPr>
            <w:r>
              <w:rPr>
                <w:rFonts w:ascii="Calibri" w:hAnsi="Calibri"/>
                <w:b/>
                <w:i w:val="0"/>
                <w:color w:val="FFFFFF"/>
                <w:sz w:val="18"/>
              </w:rPr>
              <w:t>Without Mo</w:t>
            </w:r>
          </w:p>
        </w:tc>
        <w:tc>
          <w:tcPr>
            <w:tcW w:type="dxa" w:w="3485"/>
            <w:shd w:val="clear" w:color="auto" w:fill="1A1A1A"/>
          </w:tcPr>
          <w:p>
            <w:pPr>
              <w:spacing w:before="80" w:after="80"/>
              <w:ind w:left="80"/>
            </w:pPr>
            <w:r>
              <w:rPr>
                <w:rFonts w:ascii="Calibri" w:hAnsi="Calibri"/>
                <w:b/>
                <w:i w:val="0"/>
                <w:color w:val="FFFFFF"/>
                <w:sz w:val="18"/>
              </w:rPr>
              <w:t>With Mo</w:t>
            </w:r>
          </w:p>
        </w:tc>
      </w:tr>
      <w:tr>
        <w:tc>
          <w:tcPr>
            <w:tcW w:type="dxa" w:w="2448"/>
            <w:shd w:val="clear" w:color="auto" w:fill="FFFFFF"/>
          </w:tcPr>
          <w:p>
            <w:pPr>
              <w:spacing w:before="80" w:after="80"/>
              <w:ind w:left="80"/>
            </w:pPr>
            <w:r>
              <w:rPr>
                <w:rFonts w:ascii="Calibri" w:hAnsi="Calibri"/>
                <w:b/>
                <w:i w:val="0"/>
                <w:color w:val="1A1A1A"/>
                <w:sz w:val="18"/>
              </w:rPr>
              <w:t>New flavor launch forecast</w:t>
            </w:r>
          </w:p>
        </w:tc>
        <w:tc>
          <w:tcPr>
            <w:tcW w:type="dxa" w:w="3485"/>
            <w:shd w:val="clear" w:color="auto" w:fill="FFFFFF"/>
          </w:tcPr>
          <w:p>
            <w:pPr>
              <w:spacing w:before="80" w:after="80"/>
              <w:ind w:left="80"/>
            </w:pPr>
            <w:r>
              <w:rPr>
                <w:rFonts w:ascii="Calibri" w:hAnsi="Calibri"/>
                <w:b w:val="0"/>
                <w:i w:val="0"/>
                <w:color w:val="1A1A1A"/>
                <w:sz w:val="18"/>
              </w:rPr>
              <w:t>Estimate incremental units by analogy or comp SKU; cannibalization is assumed but not measured</w:t>
            </w:r>
          </w:p>
        </w:tc>
        <w:tc>
          <w:tcPr>
            <w:tcW w:type="dxa" w:w="3485"/>
            <w:shd w:val="clear" w:color="auto" w:fill="FFFFFF"/>
          </w:tcPr>
          <w:p>
            <w:pPr>
              <w:spacing w:before="80" w:after="80"/>
              <w:ind w:left="80"/>
            </w:pPr>
            <w:r>
              <w:rPr>
                <w:rFonts w:ascii="Calibri" w:hAnsi="Calibri"/>
                <w:b w:val="0"/>
                <w:i w:val="0"/>
                <w:color w:val="1A1A1A"/>
                <w:sz w:val="18"/>
              </w:rPr>
              <w:t>Mo tracks cross-SKU pressure from week 8 onward; signals whether new units are additive or transferred</w:t>
            </w:r>
          </w:p>
        </w:tc>
      </w:tr>
      <w:tr>
        <w:tc>
          <w:tcPr>
            <w:tcW w:type="dxa" w:w="2448"/>
            <w:shd w:val="clear" w:color="auto" w:fill="F9FAFB"/>
          </w:tcPr>
          <w:p>
            <w:pPr>
              <w:spacing w:before="80" w:after="80"/>
              <w:ind w:left="80"/>
            </w:pPr>
            <w:r>
              <w:rPr>
                <w:rFonts w:ascii="Calibri" w:hAnsi="Calibri"/>
                <w:b/>
                <w:i w:val="0"/>
                <w:color w:val="1A1A1A"/>
                <w:sz w:val="18"/>
              </w:rPr>
              <w:t>Pack size expansion (1ct → 4pk)</w:t>
            </w:r>
          </w:p>
        </w:tc>
        <w:tc>
          <w:tcPr>
            <w:tcW w:type="dxa" w:w="3485"/>
            <w:shd w:val="clear" w:color="auto" w:fill="F9FAFB"/>
          </w:tcPr>
          <w:p>
            <w:pPr>
              <w:spacing w:before="80" w:after="80"/>
              <w:ind w:left="80"/>
            </w:pPr>
            <w:r>
              <w:rPr>
                <w:rFonts w:ascii="Calibri" w:hAnsi="Calibri"/>
                <w:b w:val="0"/>
                <w:i w:val="0"/>
                <w:color w:val="1A1A1A"/>
                <w:sz w:val="18"/>
              </w:rPr>
              <w:t>Compare velocity manually; hard to separate channel mix from true demand substitution</w:t>
            </w:r>
          </w:p>
        </w:tc>
        <w:tc>
          <w:tcPr>
            <w:tcW w:type="dxa" w:w="3485"/>
            <w:shd w:val="clear" w:color="auto" w:fill="F9FAFB"/>
          </w:tcPr>
          <w:p>
            <w:pPr>
              <w:spacing w:before="80" w:after="80"/>
              <w:ind w:left="80"/>
            </w:pPr>
            <w:r>
              <w:rPr>
                <w:rFonts w:ascii="Calibri" w:hAnsi="Calibri"/>
                <w:b w:val="0"/>
                <w:i w:val="0"/>
                <w:color w:val="1A1A1A"/>
                <w:sz w:val="18"/>
              </w:rPr>
              <w:t>Mo controls for distribution (TDP) and price, isolating the demand transfer signal at the same retailer</w:t>
            </w:r>
          </w:p>
        </w:tc>
      </w:tr>
      <w:tr>
        <w:tc>
          <w:tcPr>
            <w:tcW w:type="dxa" w:w="2448"/>
            <w:shd w:val="clear" w:color="auto" w:fill="FFFFFF"/>
          </w:tcPr>
          <w:p>
            <w:pPr>
              <w:spacing w:before="80" w:after="80"/>
              <w:ind w:left="80"/>
            </w:pPr>
            <w:r>
              <w:rPr>
                <w:rFonts w:ascii="Calibri" w:hAnsi="Calibri"/>
                <w:b/>
                <w:i w:val="0"/>
                <w:color w:val="1A1A1A"/>
                <w:sz w:val="18"/>
              </w:rPr>
              <w:t>Revenue quality review</w:t>
            </w:r>
          </w:p>
        </w:tc>
        <w:tc>
          <w:tcPr>
            <w:tcW w:type="dxa" w:w="3485"/>
            <w:shd w:val="clear" w:color="auto" w:fill="FFFFFF"/>
          </w:tcPr>
          <w:p>
            <w:pPr>
              <w:spacing w:before="80" w:after="80"/>
              <w:ind w:left="80"/>
            </w:pPr>
            <w:r>
              <w:rPr>
                <w:rFonts w:ascii="Calibri" w:hAnsi="Calibri"/>
                <w:b w:val="0"/>
                <w:i w:val="0"/>
                <w:color w:val="1A1A1A"/>
                <w:sz w:val="18"/>
              </w:rPr>
              <w:t>Portfolio growth looks good in aggregate; internal share shifts are invisible until the quarter closes</w:t>
            </w:r>
          </w:p>
        </w:tc>
        <w:tc>
          <w:tcPr>
            <w:tcW w:type="dxa" w:w="3485"/>
            <w:shd w:val="clear" w:color="auto" w:fill="FFFFFF"/>
          </w:tcPr>
          <w:p>
            <w:pPr>
              <w:spacing w:before="80" w:after="80"/>
              <w:ind w:left="80"/>
            </w:pPr>
            <w:r>
              <w:rPr>
                <w:rFonts w:ascii="Calibri" w:hAnsi="Calibri"/>
                <w:b w:val="0"/>
                <w:i w:val="0"/>
                <w:color w:val="1A1A1A"/>
                <w:sz w:val="18"/>
              </w:rPr>
              <w:t>SKU-level portfolio pressure visible in real time; distinguishes earned growth from intra-brand substitution</w:t>
            </w:r>
          </w:p>
        </w:tc>
      </w:tr>
      <w:tr>
        <w:tc>
          <w:tcPr>
            <w:tcW w:type="dxa" w:w="2448"/>
            <w:shd w:val="clear" w:color="auto" w:fill="F9FAFB"/>
          </w:tcPr>
          <w:p>
            <w:pPr>
              <w:spacing w:before="80" w:after="80"/>
              <w:ind w:left="80"/>
            </w:pPr>
            <w:r>
              <w:rPr>
                <w:rFonts w:ascii="Calibri" w:hAnsi="Calibri"/>
                <w:b/>
                <w:i w:val="0"/>
                <w:color w:val="1A1A1A"/>
                <w:sz w:val="18"/>
              </w:rPr>
              <w:t>Inventory commitment for Q3 launch</w:t>
            </w:r>
          </w:p>
        </w:tc>
        <w:tc>
          <w:tcPr>
            <w:tcW w:type="dxa" w:w="3485"/>
            <w:shd w:val="clear" w:color="auto" w:fill="F9FAFB"/>
          </w:tcPr>
          <w:p>
            <w:pPr>
              <w:spacing w:before="80" w:after="80"/>
              <w:ind w:left="80"/>
            </w:pPr>
            <w:r>
              <w:rPr>
                <w:rFonts w:ascii="Calibri" w:hAnsi="Calibri"/>
                <w:b w:val="0"/>
                <w:i w:val="0"/>
                <w:color w:val="1A1A1A"/>
                <w:sz w:val="18"/>
              </w:rPr>
              <w:t>Commit to full build on optimistic incremental assumption; learn the transfer rate retrospectively</w:t>
            </w:r>
          </w:p>
        </w:tc>
        <w:tc>
          <w:tcPr>
            <w:tcW w:type="dxa" w:w="3485"/>
            <w:shd w:val="clear" w:color="auto" w:fill="F9FAFB"/>
          </w:tcPr>
          <w:p>
            <w:pPr>
              <w:spacing w:before="80" w:after="80"/>
              <w:ind w:left="80"/>
            </w:pPr>
            <w:r>
              <w:rPr>
                <w:rFonts w:ascii="Calibri" w:hAnsi="Calibri"/>
                <w:b w:val="0"/>
                <w:i w:val="0"/>
                <w:color w:val="1A1A1A"/>
                <w:sz w:val="18"/>
              </w:rPr>
              <w:t>Early cannibalization signal informs the commitment range before the inventory order is placed</w:t>
            </w:r>
          </w:p>
        </w:tc>
      </w:tr>
    </w:tbl>
    <w:p>
      <w:pPr>
        <w:spacing w:before="0" w:after="0"/>
      </w:pPr>
      <w:r>
        <w:rPr>
          <w:sz w:val="20"/>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val="clear" w:color="auto" w:fill="F0FDF4"/>
            <w:tcBorders>
              <w:top w:val="single" w:sz="4" w:space="0" w:color="16A34A"/>
              <w:right w:val="single" w:sz="4" w:space="0" w:color="16A34A"/>
              <w:bottom w:val="single" w:sz="4" w:space="0" w:color="16A34A"/>
              <w:left w:val="single" w:sz="18" w:space="0" w:color="16A34A"/>
            </w:tcBorders>
          </w:tcPr>
          <w:p>
            <w:pPr>
              <w:spacing w:before="160" w:after="80"/>
              <w:ind w:left="160" w:right="160"/>
            </w:pPr>
            <w:r>
              <w:rPr>
                <w:rFonts w:ascii="Calibri" w:hAnsi="Calibri"/>
                <w:b/>
                <w:i w:val="0"/>
                <w:color w:val="1A1A1A"/>
                <w:sz w:val="20"/>
              </w:rPr>
              <w:t xml:space="preserve">So what? </w:t>
            </w:r>
            <w:r>
              <w:rPr>
                <w:rFonts w:ascii="Calibri" w:hAnsi="Calibri"/>
                <w:b w:val="0"/>
                <w:i w:val="0"/>
                <w:color w:val="1A1A1A"/>
                <w:sz w:val="20"/>
              </w:rPr>
              <w:t xml:space="preserve">When the Q3 new SKU launch is in the operating plan, Mo gives your team the signal to distinguish additive demand from internal share shift — before you commit to inventory and trade spend. </w:t>
            </w:r>
            <w:r>
              <w:rPr>
                <w:rFonts w:ascii="Calibri" w:hAnsi="Calibri"/>
                <w:b/>
                <w:i w:val="0"/>
                <w:color w:val="1A1A1A"/>
                <w:sz w:val="20"/>
              </w:rPr>
              <w:t xml:space="preserve">Now what? </w:t>
            </w:r>
            <w:r>
              <w:rPr>
                <w:rFonts w:ascii="Calibri" w:hAnsi="Calibri"/>
                <w:b w:val="0"/>
                <w:i w:val="0"/>
                <w:color w:val="1A1A1A"/>
                <w:sz w:val="20"/>
              </w:rPr>
              <w:t>Share the launch calendar and Mo starts tracking cannibalization pressure from launch week 8 onward.</w:t>
            </w:r>
          </w:p>
          <w:p>
            <w:pPr>
              <w:spacing w:before="0" w:after="120"/>
            </w:pPr>
          </w:p>
        </w:tc>
      </w:tr>
    </w:tbl>
    <w:p>
      <w:pPr>
        <w:spacing w:before="0" w:after="0"/>
      </w:pPr>
      <w:r>
        <w:rPr>
          <w:sz w:val="16"/>
        </w:rPr>
      </w:r>
    </w:p>
    <w:p>
      <w:pPr>
        <w:spacing w:before="360" w:after="60"/>
        <w:shd w:val="clear" w:color="auto" w:fill="FFFBEB"/>
      </w:pPr>
      <w:r>
        <w:rPr>
          <w:rFonts w:ascii="Calibri" w:hAnsi="Calibri"/>
          <w:b/>
          <w:i w:val="0"/>
          <w:color w:val="92400E"/>
          <w:sz w:val="16"/>
        </w:rPr>
        <w:t xml:space="preserve">  PRICE ELASTICITY &amp; TRADE SPEND  </w:t>
      </w:r>
    </w:p>
    <w:p>
      <w:pPr>
        <w:spacing w:before="80" w:after="200"/>
        <w:pBdr>
          <w:bottom w:val="single" w:sz="6" w:space="4" w:color="1A1A1A"/>
        </w:pBdr>
      </w:pPr>
      <w:r>
        <w:rPr>
          <w:rFonts w:ascii="Calibri" w:hAnsi="Calibri"/>
          <w:b/>
          <w:i w:val="0"/>
          <w:color w:val="1A1A1A"/>
          <w:sz w:val="30"/>
        </w:rPr>
        <w:t>Price Elasticity &amp; Trade Spend Intelligence</w:t>
      </w:r>
    </w:p>
    <w:p>
      <w:pPr>
        <w:spacing w:before="0" w:after="200"/>
      </w:pPr>
      <w:r>
        <w:rPr>
          <w:rFonts w:ascii="Calibri" w:hAnsi="Calibri"/>
          <w:b w:val="0"/>
          <w:i w:val="0"/>
          <w:color w:val="1A1A1A"/>
          <w:sz w:val="22"/>
        </w:rPr>
        <w:t>Not every retailer responds to price the same way. Mo measures per-retailer price sensitivity from real SPINS transaction history — controlling for distribution, promotion, seasonality, and pack size lifecycle — so your team knows where a price move will move units and where it will not. This is the input trade teams have always needed for promo ROI decisions but have never had at account-level precision.</w:t>
      </w:r>
    </w:p>
    <w:p>
      <w:pPr>
        <w:spacing w:before="280" w:after="120"/>
      </w:pPr>
      <w:r>
        <w:rPr>
          <w:rFonts w:ascii="Calibri" w:hAnsi="Calibri"/>
          <w:b/>
          <w:i w:val="0"/>
          <w:color w:val="475569"/>
          <w:sz w:val="18"/>
        </w:rPr>
        <w:t>PER-RETAILER PRICE SENSITIVITY (CONFIRMED NEGATIVE ELASTICITY)</w:t>
      </w:r>
    </w:p>
    <w:tbl>
      <w:tblPr>
        <w:tblStyle w:val="TableGrid"/>
        <w:tblW w:type="auto" w:w="0"/>
        <w:tblLook w:firstColumn="1" w:firstRow="1" w:lastColumn="0" w:lastRow="0" w:noHBand="0" w:noVBand="1" w:val="04A0"/>
      </w:tblPr>
      <w:tblGrid>
        <w:gridCol w:w="2351"/>
        <w:gridCol w:w="2351"/>
        <w:gridCol w:w="2351"/>
        <w:gridCol w:w="2351"/>
      </w:tblGrid>
      <w:tr>
        <w:tc>
          <w:tcPr>
            <w:tcW w:type="dxa" w:w="1584"/>
            <w:shd w:val="clear" w:color="auto" w:fill="1A1A1A"/>
          </w:tcPr>
          <w:p>
            <w:pPr>
              <w:spacing w:before="80" w:after="80"/>
              <w:ind w:left="80"/>
            </w:pPr>
            <w:r>
              <w:rPr>
                <w:rFonts w:ascii="Calibri" w:hAnsi="Calibri"/>
                <w:b/>
                <w:i w:val="0"/>
                <w:color w:val="FFFFFF"/>
                <w:sz w:val="18"/>
              </w:rPr>
              <w:t>Retailer</w:t>
            </w:r>
          </w:p>
        </w:tc>
        <w:tc>
          <w:tcPr>
            <w:tcW w:type="dxa" w:w="1296"/>
            <w:shd w:val="clear" w:color="auto" w:fill="1A1A1A"/>
          </w:tcPr>
          <w:p>
            <w:pPr>
              <w:spacing w:before="80" w:after="80"/>
              <w:ind w:left="80"/>
            </w:pPr>
            <w:r>
              <w:rPr>
                <w:rFonts w:ascii="Calibri" w:hAnsi="Calibri"/>
                <w:b/>
                <w:i w:val="0"/>
                <w:color w:val="FFFFFF"/>
                <w:sz w:val="18"/>
              </w:rPr>
              <w:t>Elasticity (ε)</w:t>
            </w:r>
          </w:p>
        </w:tc>
        <w:tc>
          <w:tcPr>
            <w:tcW w:type="dxa" w:w="3024"/>
            <w:shd w:val="clear" w:color="auto" w:fill="1A1A1A"/>
          </w:tcPr>
          <w:p>
            <w:pPr>
              <w:spacing w:before="80" w:after="80"/>
              <w:ind w:left="80"/>
            </w:pPr>
            <w:r>
              <w:rPr>
                <w:rFonts w:ascii="Calibri" w:hAnsi="Calibri"/>
                <w:b/>
                <w:i w:val="0"/>
                <w:color w:val="FFFFFF"/>
                <w:sz w:val="18"/>
              </w:rPr>
              <w:t>Plain-English Read</w:t>
            </w:r>
          </w:p>
        </w:tc>
        <w:tc>
          <w:tcPr>
            <w:tcW w:type="dxa" w:w="3514"/>
            <w:shd w:val="clear" w:color="auto" w:fill="1A1A1A"/>
          </w:tcPr>
          <w:p>
            <w:pPr>
              <w:spacing w:before="80" w:after="80"/>
              <w:ind w:left="80"/>
            </w:pPr>
            <w:r>
              <w:rPr>
                <w:rFonts w:ascii="Calibri" w:hAnsi="Calibri"/>
                <w:b/>
                <w:i w:val="0"/>
                <w:color w:val="FFFFFF"/>
                <w:sz w:val="18"/>
              </w:rPr>
              <w:t>Trade Spend Implication</w:t>
            </w:r>
          </w:p>
        </w:tc>
      </w:tr>
      <w:tr>
        <w:tc>
          <w:tcPr>
            <w:tcW w:type="dxa" w:w="1584"/>
            <w:shd w:val="clear" w:color="auto" w:fill="FFFFFF"/>
          </w:tcPr>
          <w:p>
            <w:pPr>
              <w:spacing w:before="80" w:after="80"/>
              <w:ind w:left="80"/>
            </w:pPr>
            <w:r>
              <w:rPr>
                <w:rFonts w:ascii="Calibri" w:hAnsi="Calibri"/>
                <w:b w:val="0"/>
                <w:i w:val="0"/>
                <w:color w:val="1A1A1A"/>
                <w:sz w:val="18"/>
              </w:rPr>
              <w:t>Walmart</w:t>
            </w:r>
          </w:p>
        </w:tc>
        <w:tc>
          <w:tcPr>
            <w:tcW w:type="dxa" w:w="1296"/>
            <w:shd w:val="clear" w:color="auto" w:fill="FFFFFF"/>
          </w:tcPr>
          <w:p>
            <w:pPr>
              <w:spacing w:before="80" w:after="80"/>
              <w:ind w:left="80"/>
            </w:pPr>
            <w:r>
              <w:rPr>
                <w:rFonts w:ascii="Calibri" w:hAnsi="Calibri"/>
                <w:b w:val="0"/>
                <w:i w:val="0"/>
                <w:color w:val="1A1A1A"/>
                <w:sz w:val="18"/>
              </w:rPr>
              <w:t>−0.245</w:t>
            </w:r>
          </w:p>
        </w:tc>
        <w:tc>
          <w:tcPr>
            <w:tcW w:type="dxa" w:w="3024"/>
            <w:shd w:val="clear" w:color="auto" w:fill="FFFFFF"/>
          </w:tcPr>
          <w:p>
            <w:pPr>
              <w:spacing w:before="80" w:after="80"/>
              <w:ind w:left="80"/>
            </w:pPr>
            <w:r>
              <w:rPr>
                <w:rFonts w:ascii="Calibri" w:hAnsi="Calibri"/>
                <w:b w:val="0"/>
                <w:i w:val="0"/>
                <w:color w:val="1A1A1A"/>
                <w:sz w:val="18"/>
              </w:rPr>
              <w:t>Inelastic — shoppers not highly price-sensitive at this account</w:t>
            </w:r>
          </w:p>
        </w:tc>
        <w:tc>
          <w:tcPr>
            <w:tcW w:type="dxa" w:w="3514"/>
            <w:shd w:val="clear" w:color="auto" w:fill="FFFFFF"/>
          </w:tcPr>
          <w:p>
            <w:pPr>
              <w:spacing w:before="80" w:after="80"/>
              <w:ind w:left="80"/>
            </w:pPr>
            <w:r>
              <w:rPr>
                <w:rFonts w:ascii="Calibri" w:hAnsi="Calibri"/>
                <w:b w:val="0"/>
                <w:i w:val="0"/>
                <w:color w:val="1A1A1A"/>
                <w:sz w:val="18"/>
              </w:rPr>
              <w:t>Small TPRs carry limited volume upside; spend may be better allocated elsewhere</w:t>
            </w:r>
          </w:p>
        </w:tc>
      </w:tr>
      <w:tr>
        <w:tc>
          <w:tcPr>
            <w:tcW w:type="dxa" w:w="1584"/>
            <w:shd w:val="clear" w:color="auto" w:fill="F9FAFB"/>
          </w:tcPr>
          <w:p>
            <w:pPr>
              <w:spacing w:before="80" w:after="80"/>
              <w:ind w:left="80"/>
            </w:pPr>
            <w:r>
              <w:rPr>
                <w:rFonts w:ascii="Calibri" w:hAnsi="Calibri"/>
                <w:b w:val="0"/>
                <w:i w:val="0"/>
                <w:color w:val="1A1A1A"/>
                <w:sz w:val="18"/>
              </w:rPr>
              <w:t>Kroger</w:t>
            </w:r>
          </w:p>
        </w:tc>
        <w:tc>
          <w:tcPr>
            <w:tcW w:type="dxa" w:w="1296"/>
            <w:shd w:val="clear" w:color="auto" w:fill="F9FAFB"/>
          </w:tcPr>
          <w:p>
            <w:pPr>
              <w:spacing w:before="80" w:after="80"/>
              <w:ind w:left="80"/>
            </w:pPr>
            <w:r>
              <w:rPr>
                <w:rFonts w:ascii="Calibri" w:hAnsi="Calibri"/>
                <w:b w:val="0"/>
                <w:i w:val="0"/>
                <w:color w:val="1A1A1A"/>
                <w:sz w:val="18"/>
              </w:rPr>
              <w:t>−0.590</w:t>
            </w:r>
          </w:p>
        </w:tc>
        <w:tc>
          <w:tcPr>
            <w:tcW w:type="dxa" w:w="3024"/>
            <w:shd w:val="clear" w:color="auto" w:fill="F9FAFB"/>
          </w:tcPr>
          <w:p>
            <w:pPr>
              <w:spacing w:before="80" w:after="80"/>
              <w:ind w:left="80"/>
            </w:pPr>
            <w:r>
              <w:rPr>
                <w:rFonts w:ascii="Calibri" w:hAnsi="Calibri"/>
                <w:b w:val="0"/>
                <w:i w:val="0"/>
                <w:color w:val="1A1A1A"/>
                <w:sz w:val="18"/>
              </w:rPr>
              <w:t>Moderate — price moves are felt; validated by December 2025 event</w:t>
            </w:r>
          </w:p>
        </w:tc>
        <w:tc>
          <w:tcPr>
            <w:tcW w:type="dxa" w:w="3514"/>
            <w:shd w:val="clear" w:color="auto" w:fill="F9FAFB"/>
          </w:tcPr>
          <w:p>
            <w:pPr>
              <w:spacing w:before="80" w:after="80"/>
              <w:ind w:left="80"/>
            </w:pPr>
            <w:r>
              <w:rPr>
                <w:rFonts w:ascii="Calibri" w:hAnsi="Calibri"/>
                <w:b w:val="0"/>
                <w:i w:val="0"/>
                <w:color w:val="1A1A1A"/>
                <w:sz w:val="18"/>
              </w:rPr>
              <w:t>Promo ROI calculations should use ε = −0.59; causal lift confirmed at +28.6% with full promo mechanics</w:t>
            </w:r>
          </w:p>
        </w:tc>
      </w:tr>
      <w:tr>
        <w:tc>
          <w:tcPr>
            <w:tcW w:type="dxa" w:w="1584"/>
            <w:shd w:val="clear" w:color="auto" w:fill="FFFFFF"/>
          </w:tcPr>
          <w:p>
            <w:pPr>
              <w:spacing w:before="80" w:after="80"/>
              <w:ind w:left="80"/>
            </w:pPr>
            <w:r>
              <w:rPr>
                <w:rFonts w:ascii="Calibri" w:hAnsi="Calibri"/>
                <w:b w:val="0"/>
                <w:i w:val="0"/>
                <w:color w:val="1A1A1A"/>
                <w:sz w:val="18"/>
              </w:rPr>
              <w:t>Ahold Delhaize</w:t>
            </w:r>
          </w:p>
        </w:tc>
        <w:tc>
          <w:tcPr>
            <w:tcW w:type="dxa" w:w="1296"/>
            <w:shd w:val="clear" w:color="auto" w:fill="FFFFFF"/>
          </w:tcPr>
          <w:p>
            <w:pPr>
              <w:spacing w:before="80" w:after="80"/>
              <w:ind w:left="80"/>
            </w:pPr>
            <w:r>
              <w:rPr>
                <w:rFonts w:ascii="Calibri" w:hAnsi="Calibri"/>
                <w:b w:val="0"/>
                <w:i w:val="0"/>
                <w:color w:val="1A1A1A"/>
                <w:sz w:val="18"/>
              </w:rPr>
              <w:t>−1.262</w:t>
            </w:r>
          </w:p>
        </w:tc>
        <w:tc>
          <w:tcPr>
            <w:tcW w:type="dxa" w:w="3024"/>
            <w:shd w:val="clear" w:color="auto" w:fill="FFFFFF"/>
          </w:tcPr>
          <w:p>
            <w:pPr>
              <w:spacing w:before="80" w:after="80"/>
              <w:ind w:left="80"/>
            </w:pPr>
            <w:r>
              <w:rPr>
                <w:rFonts w:ascii="Calibri" w:hAnsi="Calibri"/>
                <w:b w:val="0"/>
                <w:i w:val="0"/>
                <w:color w:val="1A1A1A"/>
                <w:sz w:val="18"/>
              </w:rPr>
              <w:t>Elastic — demand responds strongly to price changes</w:t>
            </w:r>
          </w:p>
        </w:tc>
        <w:tc>
          <w:tcPr>
            <w:tcW w:type="dxa" w:w="3514"/>
            <w:shd w:val="clear" w:color="auto" w:fill="FFFFFF"/>
          </w:tcPr>
          <w:p>
            <w:pPr>
              <w:spacing w:before="80" w:after="80"/>
              <w:ind w:left="80"/>
            </w:pPr>
            <w:r>
              <w:rPr>
                <w:rFonts w:ascii="Calibri" w:hAnsi="Calibri"/>
                <w:b w:val="0"/>
                <w:i w:val="0"/>
                <w:color w:val="1A1A1A"/>
                <w:sz w:val="18"/>
              </w:rPr>
              <w:t>Price moves require demand offset planning; strong ROI opportunity when promo conditions are right</w:t>
            </w:r>
          </w:p>
        </w:tc>
      </w:tr>
      <w:tr>
        <w:tc>
          <w:tcPr>
            <w:tcW w:type="dxa" w:w="1584"/>
            <w:shd w:val="clear" w:color="auto" w:fill="F9FAFB"/>
          </w:tcPr>
          <w:p>
            <w:pPr>
              <w:spacing w:before="80" w:after="80"/>
              <w:ind w:left="80"/>
            </w:pPr>
            <w:r>
              <w:rPr>
                <w:rFonts w:ascii="Calibri" w:hAnsi="Calibri"/>
                <w:b w:val="0"/>
                <w:i w:val="0"/>
                <w:color w:val="1A1A1A"/>
                <w:sz w:val="18"/>
              </w:rPr>
              <w:t>Whole Foods</w:t>
            </w:r>
          </w:p>
        </w:tc>
        <w:tc>
          <w:tcPr>
            <w:tcW w:type="dxa" w:w="1296"/>
            <w:shd w:val="clear" w:color="auto" w:fill="F9FAFB"/>
          </w:tcPr>
          <w:p>
            <w:pPr>
              <w:spacing w:before="80" w:after="80"/>
              <w:ind w:left="80"/>
            </w:pPr>
            <w:r>
              <w:rPr>
                <w:rFonts w:ascii="Calibri" w:hAnsi="Calibri"/>
                <w:b w:val="0"/>
                <w:i w:val="0"/>
                <w:color w:val="1A1A1A"/>
                <w:sz w:val="18"/>
              </w:rPr>
              <w:t>−0.445</w:t>
            </w:r>
          </w:p>
        </w:tc>
        <w:tc>
          <w:tcPr>
            <w:tcW w:type="dxa" w:w="3024"/>
            <w:shd w:val="clear" w:color="auto" w:fill="F9FAFB"/>
          </w:tcPr>
          <w:p>
            <w:pPr>
              <w:spacing w:before="80" w:after="80"/>
              <w:ind w:left="80"/>
            </w:pPr>
            <w:r>
              <w:rPr>
                <w:rFonts w:ascii="Calibri" w:hAnsi="Calibri"/>
                <w:b w:val="0"/>
                <w:i w:val="0"/>
                <w:color w:val="1A1A1A"/>
                <w:sz w:val="18"/>
              </w:rPr>
              <w:t>Muted sensitivity — consistent with premium positioning</w:t>
            </w:r>
          </w:p>
        </w:tc>
        <w:tc>
          <w:tcPr>
            <w:tcW w:type="dxa" w:w="3514"/>
            <w:shd w:val="clear" w:color="auto" w:fill="F9FAFB"/>
          </w:tcPr>
          <w:p>
            <w:pPr>
              <w:spacing w:before="80" w:after="80"/>
              <w:ind w:left="80"/>
            </w:pPr>
            <w:r>
              <w:rPr>
                <w:rFonts w:ascii="Calibri" w:hAnsi="Calibri"/>
                <w:b w:val="0"/>
                <w:i w:val="0"/>
                <w:color w:val="1A1A1A"/>
                <w:sz w:val="18"/>
              </w:rPr>
              <w:t>Price response is lower than mass/grocery; velocity and distribution are stronger levers here</w:t>
            </w:r>
          </w:p>
        </w:tc>
      </w:tr>
    </w:tbl>
    <w:p>
      <w:pPr>
        <w:spacing w:before="0" w:after="0"/>
      </w:pPr>
      <w:r>
        <w:rPr>
          <w:sz w:val="20"/>
        </w:rPr>
      </w:r>
    </w:p>
    <w:p>
      <w:pPr>
        <w:spacing w:before="280" w:after="120"/>
      </w:pPr>
      <w:r>
        <w:rPr>
          <w:rFonts w:ascii="Calibri" w:hAnsi="Calibri"/>
          <w:b/>
          <w:i w:val="0"/>
          <w:color w:val="475569"/>
          <w:sz w:val="18"/>
        </w:rPr>
        <w:t>THE KROGER CASE — CAUSAL PRICE EVENT ANALYSIS</w:t>
      </w:r>
    </w:p>
    <w:p>
      <w:pPr>
        <w:spacing w:before="0" w:after="160"/>
      </w:pPr>
      <w:r>
        <w:rPr>
          <w:rFonts w:ascii="Calibri" w:hAnsi="Calibri"/>
          <w:b w:val="0"/>
          <w:i w:val="0"/>
          <w:color w:val="475569"/>
          <w:sz w:val="20"/>
        </w:rPr>
        <w:t>In December 2025, Brownie Batter 4pk at Kroger dropped from $10.99 to $10.14 (−7.7%). Mo’s BSTS counterfactual model isolated the price-only effect from everything else happening that period — broader seasonal uplift, display and feature support, distribution changes — and answered: how many units were genuinely above the counterfactual baseline because of the price change? Price alone explained +4.7% lift. The full promo package (price + display + feature) drove +28.6%. The gap is the promo mechanic value — quantified for the first time at event level.</w:t>
      </w:r>
    </w:p>
    <w:p>
      <w:pPr>
        <w:spacing w:before="0" w:after="160"/>
      </w:pPr>
      <w:r>
        <w:rPr>
          <w:rFonts w:ascii="Calibri" w:hAnsi="Calibri"/>
          <w:b w:val="0"/>
          <w:i/>
          <w:color w:val="94A3B8"/>
          <w:sz w:val="18"/>
        </w:rPr>
        <w:t>[Chart: Figure 2 — Kroger BB4pk price event, December 2025. Top: focal vs. control retailer. Middle: Average Retail Price (ARP) trajectory. Bottom: TDP stable — rules out distribution as confound. Net causal lift: +28.6% above BSTS baseline.]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val="clear" w:color="auto" w:fill="FFFBEB"/>
            <w:tcBorders>
              <w:top w:val="single" w:sz="4" w:space="0" w:color="D97706"/>
              <w:right w:val="single" w:sz="4" w:space="0" w:color="D97706"/>
              <w:bottom w:val="single" w:sz="4" w:space="0" w:color="D97706"/>
              <w:left w:val="single" w:sz="18" w:space="0" w:color="D97706"/>
            </w:tcBorders>
          </w:tcPr>
          <w:p>
            <w:pPr>
              <w:spacing w:before="160" w:after="80"/>
              <w:ind w:left="160" w:right="160"/>
            </w:pPr>
            <w:r>
              <w:rPr>
                <w:rFonts w:ascii="Calibri" w:hAnsi="Calibri"/>
                <w:b/>
                <w:i w:val="0"/>
                <w:color w:val="1A1A1A"/>
                <w:sz w:val="20"/>
              </w:rPr>
              <w:t xml:space="preserve">Trade spend payoff: </w:t>
            </w:r>
            <w:r>
              <w:rPr>
                <w:rFonts w:ascii="Calibri" w:hAnsi="Calibri"/>
                <w:b w:val="0"/>
                <w:i w:val="0"/>
                <w:color w:val="1A1A1A"/>
                <w:sz w:val="20"/>
              </w:rPr>
              <w:t>You now know what the price-only contribution was (+4.7%) versus what the full promo package added (+28.6% net). The 23.7pp gap is the display and feature mechanic — and it can be evaluated against the trade spend cost to determine true ROI. This is the calculation your team has been doing manually, with far less precision.</w:t>
            </w:r>
          </w:p>
          <w:p>
            <w:pPr>
              <w:spacing w:before="0" w:after="120"/>
            </w:pPr>
          </w:p>
        </w:tc>
      </w:tr>
    </w:tbl>
    <w:p>
      <w:pPr>
        <w:spacing w:before="0" w:after="0"/>
      </w:pPr>
      <w:r>
        <w:rPr>
          <w:sz w:val="16"/>
        </w:rPr>
      </w:r>
    </w:p>
    <w:p>
      <w:pPr>
        <w:spacing w:before="280" w:after="120"/>
      </w:pPr>
      <w:r>
        <w:rPr>
          <w:rFonts w:ascii="Calibri" w:hAnsi="Calibri"/>
          <w:b/>
          <w:i w:val="0"/>
          <w:color w:val="475569"/>
          <w:sz w:val="18"/>
        </w:rPr>
        <w:t>PRICE SCENARIO MODELING — FORWARD-LOOKING</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03"/>
        <w:gridCol w:w="4703"/>
      </w:tblGrid>
      <w:tr>
        <w:tc>
          <w:tcPr>
            <w:tcW w:type="dxa" w:w="4709"/>
            <w:shd w:val="clear" w:color="auto" w:fill="F8FAFC"/>
            <w:tcBorders>
              <w:top w:val="single" w:sz="12" w:space="0" w:color="1A1A1A"/>
              <w:right w:val="none" w:sz="0" w:space="0" w:color="auto"/>
              <w:bottom w:val="none" w:sz="0" w:space="0" w:color="auto"/>
              <w:left w:val="none" w:sz="0" w:space="0" w:color="auto"/>
            </w:tcBorders>
          </w:tcPr>
          <w:p>
            <w:pPr>
              <w:spacing w:before="160" w:after="80"/>
              <w:ind w:left="120" w:right="160"/>
            </w:pPr>
            <w:r>
              <w:rPr>
                <w:rFonts w:ascii="Calibri" w:hAnsi="Calibri"/>
                <w:b/>
                <w:i w:val="0"/>
                <w:color w:val="1A1A1A"/>
                <w:sz w:val="20"/>
              </w:rPr>
              <w:t>What if we drop Kroger price by 5%?</w:t>
            </w:r>
          </w:p>
          <w:p>
            <w:pPr>
              <w:spacing w:before="0" w:after="160"/>
              <w:ind w:left="120" w:right="160"/>
            </w:pPr>
            <w:r>
              <w:rPr>
                <w:rFonts w:ascii="Calibri" w:hAnsi="Calibri"/>
                <w:b w:val="0"/>
                <w:i w:val="0"/>
                <w:color w:val="475569"/>
                <w:sz w:val="18"/>
              </w:rPr>
              <w:t>Mo uses ε = −0.59 for Kroger to estimate the demand response — and shows the confidence range around that estimate. Your trade team gets the expected unit lift and can compare it against the margin cost of the TPR before committing to the promotion.</w:t>
            </w:r>
          </w:p>
        </w:tc>
        <w:tc>
          <w:tcPr>
            <w:tcW w:type="dxa" w:w="4709"/>
            <w:shd w:val="clear" w:color="auto" w:fill="F8FAFC"/>
            <w:tcBorders>
              <w:top w:val="single" w:sz="12" w:space="0" w:color="1A1A1A"/>
              <w:right w:val="none" w:sz="0" w:space="0" w:color="auto"/>
              <w:bottom w:val="none" w:sz="0" w:space="0" w:color="auto"/>
              <w:left w:val="none" w:sz="0" w:space="0" w:color="auto"/>
            </w:tcBorders>
          </w:tcPr>
          <w:p>
            <w:pPr>
              <w:spacing w:before="160" w:after="80"/>
              <w:ind w:left="120" w:right="160"/>
            </w:pPr>
            <w:r>
              <w:rPr>
                <w:rFonts w:ascii="Calibri" w:hAnsi="Calibri"/>
                <w:b/>
                <w:i w:val="0"/>
                <w:color w:val="1A1A1A"/>
                <w:sz w:val="20"/>
              </w:rPr>
              <w:t>Where should we prioritize promo spend?</w:t>
            </w:r>
          </w:p>
          <w:p>
            <w:pPr>
              <w:spacing w:before="0" w:after="160"/>
              <w:ind w:left="120" w:right="160"/>
            </w:pPr>
            <w:r>
              <w:rPr>
                <w:rFonts w:ascii="Calibri" w:hAnsi="Calibri"/>
                <w:b w:val="0"/>
                <w:i w:val="0"/>
                <w:color w:val="475569"/>
                <w:sz w:val="18"/>
              </w:rPr>
              <w:t>Elastic accounts (Ahold ε = −1.26) respond strongly to price moves; inelastic accounts (Walmart ε = −0.25) do not. Mo gives you an account-level elasticity ranking so trade dollars go where they generate the most incremental volume.</w:t>
            </w:r>
          </w:p>
        </w:tc>
      </w:tr>
    </w:tbl>
    <w:p>
      <w:pPr>
        <w:spacing w:before="0" w:after="0"/>
      </w:pPr>
      <w:r>
        <w:rPr>
          <w:sz w:val="12"/>
        </w:rPr>
      </w:r>
    </w:p>
    <w:p>
      <w:pPr>
        <w:spacing w:before="0" w:after="0"/>
      </w:pPr>
      <w:r>
        <w:rPr>
          <w:sz w:val="16"/>
        </w:rPr>
      </w:r>
    </w:p>
    <w:p>
      <w:pPr>
        <w:spacing w:before="280" w:after="120"/>
      </w:pPr>
      <w:r>
        <w:rPr>
          <w:rFonts w:ascii="Calibri" w:hAnsi="Calibri"/>
          <w:b/>
          <w:i w:val="0"/>
          <w:color w:val="475569"/>
          <w:sz w:val="18"/>
        </w:rPr>
        <w:t>FUTURE CAPABILITIES ROADMAP</w:t>
      </w:r>
    </w:p>
    <w:p>
      <w:pPr>
        <w:spacing w:before="0" w:after="160"/>
      </w:pPr>
      <w:r>
        <w:rPr>
          <w:rFonts w:ascii="Calibri" w:hAnsi="Calibri"/>
          <w:b w:val="0"/>
          <w:i w:val="0"/>
          <w:color w:val="1A1A1A"/>
          <w:sz w:val="20"/>
        </w:rPr>
        <w:t>The price elasticity foundation unlocks a set of adjacent capabilities currently in design. These build directly on top of the per-retailer, per-SKU elasticity estimates Mo already produces — no new data infrastructure required.</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03"/>
        <w:gridCol w:w="4703"/>
      </w:tblGrid>
      <w:tr>
        <w:tc>
          <w:tcPr>
            <w:tcW w:type="dxa" w:w="4709"/>
            <w:shd w:val="clear" w:color="auto" w:fill="F8FAFC"/>
            <w:tcBorders>
              <w:top w:val="single" w:sz="12" w:space="0" w:color="1A1A1A"/>
              <w:right w:val="none" w:sz="0" w:space="0" w:color="auto"/>
              <w:bottom w:val="none" w:sz="0" w:space="0" w:color="auto"/>
              <w:left w:val="none" w:sz="0" w:space="0" w:color="auto"/>
            </w:tcBorders>
          </w:tcPr>
          <w:p>
            <w:pPr>
              <w:spacing w:before="160" w:after="80"/>
              <w:ind w:left="120" w:right="160"/>
            </w:pPr>
            <w:r>
              <w:rPr>
                <w:rFonts w:ascii="Calibri" w:hAnsi="Calibri"/>
                <w:b/>
                <w:i w:val="0"/>
                <w:color w:val="1A1A1A"/>
                <w:sz w:val="20"/>
              </w:rPr>
              <w:t>Trade Spend Analytics</w:t>
            </w:r>
          </w:p>
          <w:p>
            <w:pPr>
              <w:spacing w:before="0" w:after="160"/>
              <w:ind w:left="120" w:right="160"/>
            </w:pPr>
            <w:r>
              <w:rPr>
                <w:rFonts w:ascii="Calibri" w:hAnsi="Calibri"/>
                <w:b w:val="0"/>
                <w:i w:val="0"/>
                <w:color w:val="475569"/>
                <w:sz w:val="18"/>
              </w:rPr>
              <w:t>Automated promo ROI analysis across every trade event, every four-week cycle. Compares actual lift against elasticity-predicted lift to identify over-funded and under-funded promotions in hindsight — and forward-projects ROI before committing spend.</w:t>
            </w:r>
          </w:p>
        </w:tc>
        <w:tc>
          <w:tcPr>
            <w:tcW w:type="dxa" w:w="4709"/>
            <w:shd w:val="clear" w:color="auto" w:fill="F8FAFC"/>
            <w:tcBorders>
              <w:top w:val="single" w:sz="12" w:space="0" w:color="1A1A1A"/>
              <w:right w:val="none" w:sz="0" w:space="0" w:color="auto"/>
              <w:bottom w:val="none" w:sz="0" w:space="0" w:color="auto"/>
              <w:left w:val="none" w:sz="0" w:space="0" w:color="auto"/>
            </w:tcBorders>
          </w:tcPr>
          <w:p>
            <w:pPr>
              <w:spacing w:before="160" w:after="80"/>
              <w:ind w:left="120" w:right="160"/>
            </w:pPr>
            <w:r>
              <w:rPr>
                <w:rFonts w:ascii="Calibri" w:hAnsi="Calibri"/>
                <w:b/>
                <w:i w:val="0"/>
                <w:color w:val="1A1A1A"/>
                <w:sz w:val="20"/>
              </w:rPr>
              <w:t>Assortment Intelligence</w:t>
            </w:r>
          </w:p>
          <w:p>
            <w:pPr>
              <w:spacing w:before="0" w:after="160"/>
              <w:ind w:left="120" w:right="160"/>
            </w:pPr>
            <w:r>
              <w:rPr>
                <w:rFonts w:ascii="Calibri" w:hAnsi="Calibri"/>
                <w:b w:val="0"/>
                <w:i w:val="0"/>
                <w:color w:val="475569"/>
                <w:sz w:val="18"/>
              </w:rPr>
              <w:t>Per-retailer ranking of which pack sizes and variants are gaining or losing velocity relative to the category. Surfaces format optimization opportunities before they show up in quarterly review.</w:t>
            </w:r>
          </w:p>
        </w:tc>
      </w:tr>
    </w:tbl>
    <w:p>
      <w:pPr>
        <w:spacing w:before="0" w:after="0"/>
      </w:pPr>
      <w:r>
        <w:rPr>
          <w:sz w:val="12"/>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03"/>
        <w:gridCol w:w="4703"/>
      </w:tblGrid>
      <w:tr>
        <w:tc>
          <w:tcPr>
            <w:tcW w:type="dxa" w:w="4709"/>
            <w:shd w:val="clear" w:color="auto" w:fill="F8FAFC"/>
            <w:tcBorders>
              <w:top w:val="single" w:sz="12" w:space="0" w:color="1A1A1A"/>
              <w:right w:val="none" w:sz="0" w:space="0" w:color="auto"/>
              <w:bottom w:val="none" w:sz="0" w:space="0" w:color="auto"/>
              <w:left w:val="none" w:sz="0" w:space="0" w:color="auto"/>
            </w:tcBorders>
          </w:tcPr>
          <w:p>
            <w:pPr>
              <w:spacing w:before="160" w:after="80"/>
              <w:ind w:left="120" w:right="160"/>
            </w:pPr>
            <w:r>
              <w:rPr>
                <w:rFonts w:ascii="Calibri" w:hAnsi="Calibri"/>
                <w:b/>
                <w:i w:val="0"/>
                <w:color w:val="1A1A1A"/>
                <w:sz w:val="20"/>
              </w:rPr>
              <w:t>Promo Calendar Integration</w:t>
            </w:r>
          </w:p>
          <w:p>
            <w:pPr>
              <w:spacing w:before="0" w:after="160"/>
              <w:ind w:left="120" w:right="160"/>
            </w:pPr>
            <w:r>
              <w:rPr>
                <w:rFonts w:ascii="Calibri" w:hAnsi="Calibri"/>
                <w:b w:val="0"/>
                <w:i w:val="0"/>
                <w:color w:val="475569"/>
                <w:sz w:val="18"/>
              </w:rPr>
              <w:t>Forward-planned promotions as a direct model input. Known upcoming TPRs and display events feed into the forecast horizon, replacing manual conditioning on planned events after the baseline is generated.</w:t>
            </w:r>
          </w:p>
        </w:tc>
        <w:tc>
          <w:tcPr>
            <w:tcW w:type="dxa" w:w="4709"/>
            <w:shd w:val="clear" w:color="auto" w:fill="F8FAFC"/>
            <w:tcBorders>
              <w:top w:val="single" w:sz="12" w:space="0" w:color="1A1A1A"/>
              <w:right w:val="none" w:sz="0" w:space="0" w:color="auto"/>
              <w:bottom w:val="none" w:sz="0" w:space="0" w:color="auto"/>
              <w:left w:val="none" w:sz="0" w:space="0" w:color="auto"/>
            </w:tcBorders>
          </w:tcPr>
          <w:p>
            <w:pPr>
              <w:spacing w:before="160" w:after="80"/>
              <w:ind w:left="120" w:right="160"/>
            </w:pPr>
            <w:r>
              <w:rPr>
                <w:rFonts w:ascii="Calibri" w:hAnsi="Calibri"/>
                <w:b/>
                <w:i w:val="0"/>
                <w:color w:val="1A1A1A"/>
                <w:sz w:val="20"/>
              </w:rPr>
              <w:t>Velocity Benchmarking</w:t>
            </w:r>
          </w:p>
          <w:p>
            <w:pPr>
              <w:spacing w:before="0" w:after="160"/>
              <w:ind w:left="120" w:right="160"/>
            </w:pPr>
            <w:r>
              <w:rPr>
                <w:rFonts w:ascii="Calibri" w:hAnsi="Calibri"/>
                <w:b w:val="0"/>
                <w:i w:val="0"/>
                <w:color w:val="475569"/>
                <w:sz w:val="18"/>
              </w:rPr>
              <w:t>Per-store velocity for BUILT SKUs vs. the category average at each retailer. Answers “Is our velocity at Walmart good or not?” — the comparison that turns a number into an insight a trade team can act on.</w:t>
            </w:r>
          </w:p>
        </w:tc>
      </w:tr>
    </w:tbl>
    <w:p>
      <w:pPr>
        <w:spacing w:before="0" w:after="0"/>
      </w:pPr>
      <w:r>
        <w:rPr>
          <w:sz w:val="12"/>
        </w:rPr>
      </w:r>
    </w:p>
    <w:p>
      <w:pPr>
        <w:spacing w:before="0" w:after="0"/>
      </w:pPr>
      <w:r>
        <w:rPr>
          <w:sz w:val="16"/>
        </w:rPr>
      </w:r>
    </w:p>
    <w:p>
      <w:pPr>
        <w:spacing w:before="360" w:after="60"/>
        <w:shd w:val="clear" w:color="auto" w:fill="FAF5FF"/>
      </w:pPr>
      <w:r>
        <w:rPr>
          <w:rFonts w:ascii="Calibri" w:hAnsi="Calibri"/>
          <w:b/>
          <w:i w:val="0"/>
          <w:color w:val="7C3AED"/>
          <w:sz w:val="16"/>
        </w:rPr>
        <w:t xml:space="preserve">  EXPLAINABILITY  </w:t>
      </w:r>
    </w:p>
    <w:p>
      <w:pPr>
        <w:spacing w:before="80" w:after="200"/>
        <w:pBdr>
          <w:bottom w:val="single" w:sz="6" w:space="4" w:color="1A1A1A"/>
        </w:pBdr>
      </w:pPr>
      <w:r>
        <w:rPr>
          <w:rFonts w:ascii="Calibri" w:hAnsi="Calibri"/>
          <w:b/>
          <w:i w:val="0"/>
          <w:color w:val="1A1A1A"/>
          <w:sz w:val="30"/>
        </w:rPr>
        <w:t>Explainability &amp; Complete Audit Trail</w:t>
      </w:r>
    </w:p>
    <w:p>
      <w:pPr>
        <w:spacing w:before="0" w:after="200"/>
      </w:pPr>
      <w:r>
        <w:rPr>
          <w:rFonts w:ascii="Calibri" w:hAnsi="Calibri"/>
          <w:b w:val="0"/>
          <w:i w:val="0"/>
          <w:color w:val="1A1A1A"/>
          <w:sz w:val="22"/>
        </w:rPr>
        <w:t>A finance team that has been burned before needs to know where every number came from. Mo provides a complete data lineage: from raw SPINS transactions, through every normalization and feature engineering step, to the model prediction — at any level of the hierarchy. Every number is inspectable. Every calculation is reproducible. Every forecast has a ranked list of business drivers that explains why it landed there.</w:t>
      </w:r>
    </w:p>
    <w:p>
      <w:pPr>
        <w:spacing w:before="280" w:after="120"/>
      </w:pPr>
      <w:r>
        <w:rPr>
          <w:rFonts w:ascii="Calibri" w:hAnsi="Calibri"/>
          <w:b/>
          <w:i w:val="0"/>
          <w:color w:val="475569"/>
          <w:sz w:val="18"/>
        </w:rPr>
        <w:t>SHAP WATERFALL — EVERY PREDICTION HAS A BUSINESS REASON</w:t>
      </w:r>
    </w:p>
    <w:p>
      <w:pPr>
        <w:spacing w:before="0" w:after="160"/>
      </w:pPr>
      <w:r>
        <w:rPr>
          <w:rFonts w:ascii="Calibri" w:hAnsi="Calibri"/>
          <w:b w:val="0"/>
          <w:i w:val="0"/>
          <w:color w:val="475569"/>
          <w:sz w:val="20"/>
        </w:rPr>
        <w:t>The SHAP waterfall shows exactly what moved the Brownie Batter 4pk forecast at Walmart. Each bar is a business factor with a direction and a magnitude. Demand momentum, TDP trajectory, and seasonal pattern account for the majority of the prediction. Actual: 27,317 units. Model: 28,472 units. Error: 4.2%. If a reviewer wants to understand why that number is what it is, they can read it directly from the chart — in business language, not model vocabulary.</w:t>
      </w:r>
    </w:p>
    <w:p>
      <w:pPr>
        <w:spacing w:before="0" w:after="160"/>
      </w:pPr>
      <w:r>
        <w:rPr>
          <w:rFonts w:ascii="Calibri" w:hAnsi="Calibri"/>
          <w:b w:val="0"/>
          <w:i/>
          <w:color w:val="94A3B8"/>
          <w:sz w:val="18"/>
        </w:rPr>
        <w:t>[Chart: Figure 3 — SHAP waterfall: Brownie Batter 4pk at Walmart (Dec 2025 cutpoint). Base value = portfolio average demand. Each bar = one feature’s contribution to the final prediction.]</w:t>
      </w:r>
    </w:p>
    <w:p>
      <w:pPr>
        <w:spacing w:before="280" w:after="120"/>
      </w:pPr>
      <w:r>
        <w:rPr>
          <w:rFonts w:ascii="Calibri" w:hAnsi="Calibri"/>
          <w:b/>
          <w:i w:val="0"/>
          <w:color w:val="475569"/>
          <w:sz w:val="18"/>
        </w:rPr>
        <w:t>DATA LINEAGE &amp; PROVENANCE — AUDIT-READY BY DESIGN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val="clear" w:color="auto" w:fill="FAF5FF"/>
            <w:tcBorders>
              <w:top w:val="single" w:sz="4" w:space="0" w:color="7C3AED"/>
              <w:right w:val="single" w:sz="4" w:space="0" w:color="7C3AED"/>
              <w:bottom w:val="single" w:sz="4" w:space="0" w:color="7C3AED"/>
              <w:left w:val="single" w:sz="18" w:space="0" w:color="7C3AED"/>
            </w:tcBorders>
          </w:tcPr>
          <w:p>
            <w:pPr>
              <w:spacing w:before="160" w:after="80"/>
              <w:ind w:left="160" w:right="160"/>
            </w:pPr>
            <w:r>
              <w:rPr>
                <w:rFonts w:ascii="Calibri" w:hAnsi="Calibri"/>
                <w:b/>
                <w:i w:val="0"/>
                <w:color w:val="1A1A1A"/>
                <w:sz w:val="20"/>
              </w:rPr>
              <w:t xml:space="preserve">For due diligence, valuation, or board review: </w:t>
            </w:r>
            <w:r>
              <w:rPr>
                <w:rFonts w:ascii="Calibri" w:hAnsi="Calibri"/>
                <w:b w:val="0"/>
                <w:i w:val="0"/>
                <w:color w:val="1A1A1A"/>
                <w:sz w:val="20"/>
              </w:rPr>
              <w:t>Mo can document the operations performed on source data — what was kept, what was normalized, what was excluded and why — so that any reviewer can trace a forecast output all the way back to the raw SPINS transaction. This is the paper trail that normally requires an external firm and months of manual reconstruction. With Mo, it is built into every training run.</w:t>
            </w:r>
          </w:p>
          <w:p>
            <w:pPr>
              <w:spacing w:before="0" w:after="120"/>
            </w:pPr>
          </w:p>
        </w:tc>
      </w:tr>
    </w:tbl>
    <w:p>
      <w:pPr>
        <w:spacing w:before="0" w:after="0"/>
      </w:pPr>
      <w:r>
        <w:rPr>
          <w:sz w:val="16"/>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03"/>
        <w:gridCol w:w="4703"/>
      </w:tblGrid>
      <w:tr>
        <w:tc>
          <w:tcPr>
            <w:tcW w:type="dxa" w:w="4709"/>
            <w:shd w:val="clear" w:color="auto" w:fill="F8FAFC"/>
            <w:tcBorders>
              <w:top w:val="single" w:sz="12" w:space="0" w:color="1A1A1A"/>
              <w:right w:val="none" w:sz="0" w:space="0" w:color="auto"/>
              <w:bottom w:val="none" w:sz="0" w:space="0" w:color="auto"/>
              <w:left w:val="none" w:sz="0" w:space="0" w:color="auto"/>
            </w:tcBorders>
          </w:tcPr>
          <w:p>
            <w:pPr>
              <w:spacing w:before="160" w:after="80"/>
              <w:ind w:left="120" w:right="160"/>
            </w:pPr>
            <w:r>
              <w:rPr>
                <w:rFonts w:ascii="Calibri" w:hAnsi="Calibri"/>
                <w:b/>
                <w:i w:val="0"/>
                <w:color w:val="1A1A1A"/>
                <w:sz w:val="20"/>
              </w:rPr>
              <w:t>Mo Chat — Ask in Plain English</w:t>
            </w:r>
          </w:p>
          <w:p>
            <w:pPr>
              <w:spacing w:before="0" w:after="160"/>
              <w:ind w:left="120" w:right="160"/>
            </w:pPr>
            <w:r>
              <w:rPr>
                <w:rFonts w:ascii="Calibri" w:hAnsi="Calibri"/>
                <w:b w:val="0"/>
                <w:i w:val="0"/>
                <w:color w:val="475569"/>
                <w:sz w:val="18"/>
              </w:rPr>
              <w:t>“Why is the Walmart forecast up 18% this quarter?” Mo responds with the driver decomposition — distribution change, velocity trend, seasonal pattern — grounded in live SPINS data. No spreadsheet required.</w:t>
            </w:r>
          </w:p>
        </w:tc>
        <w:tc>
          <w:tcPr>
            <w:tcW w:type="dxa" w:w="4709"/>
            <w:shd w:val="clear" w:color="auto" w:fill="F8FAFC"/>
            <w:tcBorders>
              <w:top w:val="single" w:sz="12" w:space="0" w:color="1A1A1A"/>
              <w:right w:val="none" w:sz="0" w:space="0" w:color="auto"/>
              <w:bottom w:val="none" w:sz="0" w:space="0" w:color="auto"/>
              <w:left w:val="none" w:sz="0" w:space="0" w:color="auto"/>
            </w:tcBorders>
          </w:tcPr>
          <w:p>
            <w:pPr>
              <w:spacing w:before="160" w:after="80"/>
              <w:ind w:left="120" w:right="160"/>
            </w:pPr>
            <w:r>
              <w:rPr>
                <w:rFonts w:ascii="Calibri" w:hAnsi="Calibri"/>
                <w:b/>
                <w:i w:val="0"/>
                <w:color w:val="1A1A1A"/>
                <w:sz w:val="20"/>
              </w:rPr>
              <w:t>Forecast Drawer</w:t>
            </w:r>
          </w:p>
          <w:p>
            <w:pPr>
              <w:spacing w:before="0" w:after="160"/>
              <w:ind w:left="120" w:right="160"/>
            </w:pPr>
            <w:r>
              <w:rPr>
                <w:rFonts w:ascii="Calibri" w:hAnsi="Calibri"/>
                <w:b w:val="0"/>
                <w:i w:val="0"/>
                <w:color w:val="475569"/>
                <w:sz w:val="18"/>
              </w:rPr>
              <w:t>Per-SKU, per-retailer floor/plan/ceiling for the next 13 weeks. Drill from portfolio to retailer to SKU in three clicks. Updated automatically every SPINS cycle.</w:t>
            </w:r>
          </w:p>
        </w:tc>
      </w:tr>
    </w:tbl>
    <w:p>
      <w:pPr>
        <w:spacing w:before="0" w:after="0"/>
      </w:pPr>
      <w:r>
        <w:rPr>
          <w:sz w:val="12"/>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4709"/>
            <w:shd w:val="clear" w:color="auto" w:fill="F8FAFC"/>
            <w:tcBorders>
              <w:top w:val="single" w:sz="12" w:space="0" w:color="1A1A1A"/>
              <w:right w:val="none" w:sz="0" w:space="0" w:color="auto"/>
              <w:bottom w:val="none" w:sz="0" w:space="0" w:color="auto"/>
              <w:left w:val="none" w:sz="0" w:space="0" w:color="auto"/>
            </w:tcBorders>
          </w:tcPr>
          <w:p>
            <w:pPr>
              <w:spacing w:before="160" w:after="80"/>
              <w:ind w:left="120" w:right="160"/>
            </w:pPr>
            <w:r>
              <w:rPr>
                <w:rFonts w:ascii="Calibri" w:hAnsi="Calibri"/>
                <w:b/>
                <w:i w:val="0"/>
                <w:color w:val="1A1A1A"/>
                <w:sz w:val="20"/>
              </w:rPr>
              <w:t>Auto-Generated Briefing</w:t>
            </w:r>
          </w:p>
          <w:p>
            <w:pPr>
              <w:spacing w:before="0" w:after="160"/>
              <w:ind w:left="120" w:right="160"/>
            </w:pPr>
            <w:r>
              <w:rPr>
                <w:rFonts w:ascii="Calibri" w:hAnsi="Calibri"/>
                <w:b w:val="0"/>
                <w:i w:val="0"/>
                <w:color w:val="475569"/>
                <w:sz w:val="18"/>
              </w:rPr>
              <w:t>Every four-week SPINS cycle regenerates this briefing automatically with updated accuracy metrics, updated forecasts, and updated elasticity. Your team sees the accuracy trend over time — not a one-time snapshot.</w:t>
            </w:r>
          </w:p>
        </w:tc>
      </w:tr>
    </w:tbl>
    <w:p>
      <w:pPr>
        <w:spacing w:before="0" w:after="0"/>
      </w:pPr>
      <w:r>
        <w:rPr>
          <w:sz w:val="12"/>
        </w:rPr>
      </w:r>
    </w:p>
    <w:p>
      <w:pPr>
        <w:spacing w:before="0" w:after="0"/>
      </w:pPr>
      <w:r>
        <w:rPr>
          <w:sz w:val="16"/>
        </w:rPr>
      </w:r>
    </w:p>
    <w:p>
      <w:pPr>
        <w:spacing w:before="360" w:after="60"/>
        <w:shd w:val="clear" w:color="auto" w:fill="E2E8F0"/>
      </w:pPr>
      <w:r>
        <w:rPr>
          <w:rFonts w:ascii="Calibri" w:hAnsi="Calibri"/>
          <w:b/>
          <w:i w:val="0"/>
          <w:color w:val="1A1A1A"/>
          <w:sz w:val="16"/>
        </w:rPr>
        <w:t xml:space="preserve">  GROWTH INTELLIGENCE  </w:t>
      </w:r>
    </w:p>
    <w:p>
      <w:pPr>
        <w:spacing w:before="80" w:after="200"/>
        <w:pBdr>
          <w:bottom w:val="single" w:sz="6" w:space="4" w:color="1A1A1A"/>
        </w:pBdr>
      </w:pPr>
      <w:r>
        <w:rPr>
          <w:rFonts w:ascii="Calibri" w:hAnsi="Calibri"/>
          <w:b/>
          <w:i w:val="0"/>
          <w:color w:val="1A1A1A"/>
          <w:sz w:val="30"/>
        </w:rPr>
        <w:t>Growth Quality &amp; New Product Visibility</w:t>
      </w:r>
    </w:p>
    <w:p>
      <w:pPr>
        <w:spacing w:before="0" w:after="200"/>
      </w:pPr>
      <w:r>
        <w:rPr>
          <w:rFonts w:ascii="Calibri" w:hAnsi="Calibri"/>
          <w:b w:val="0"/>
          <w:i w:val="0"/>
          <w:color w:val="1A1A1A"/>
          <w:sz w:val="22"/>
        </w:rPr>
        <w:t>BUILT is not a steady-state brand. Distribution expansion can make total units rise even when per-store velocity is flat — and a simple trend forecast will mistake new doors for durable demand. Mo separates these two stories every week, so your team knows whether growth is earned or distribution-dependent before you plan the next quarter around it.</w:t>
      </w:r>
    </w:p>
    <w:p>
      <w:pPr>
        <w:spacing w:before="280" w:after="120"/>
      </w:pPr>
      <w:r>
        <w:rPr>
          <w:rFonts w:ascii="Calibri" w:hAnsi="Calibri"/>
          <w:b/>
          <w:i w:val="0"/>
          <w:color w:val="475569"/>
          <w:sz w:val="18"/>
        </w:rPr>
        <w:t>TDP DECOMPOSITION — DISTRIBUTION VS. VELOCITY</w:t>
      </w:r>
    </w:p>
    <w:p>
      <w:pPr>
        <w:spacing w:before="0" w:after="160"/>
      </w:pPr>
      <w:r>
        <w:rPr>
          <w:rFonts w:ascii="Calibri" w:hAnsi="Calibri"/>
          <w:b w:val="0"/>
          <w:i w:val="0"/>
          <w:color w:val="475569"/>
          <w:sz w:val="20"/>
        </w:rPr>
        <w:t>At Walmart, Brownie Batter 4pk and Cookie Dough Chunk growth has been primarily a distribution story — Total Distribution Points (TDP, the number of stores carrying the product) rising while per-store velocity holds flat. Mo weights TDP features heavily in those series and knows not to project velocity-led acceleration that isn’t happening. When velocity does start running ahead of distribution, Mo sees it first — and the forecast reflects it.</w:t>
      </w:r>
    </w:p>
    <w:p>
      <w:pPr>
        <w:spacing w:before="0" w:after="160"/>
      </w:pPr>
      <w:r>
        <w:rPr>
          <w:rFonts w:ascii="Calibri" w:hAnsi="Calibri"/>
          <w:b w:val="0"/>
          <w:i/>
          <w:color w:val="94A3B8"/>
          <w:sz w:val="18"/>
        </w:rPr>
        <w:t>[Chart: Figure 4 — Demand decomposition: BB4pk and CDC4pk at Walmart. Green = TDP index. Purple dashed = velocity index (sell-through per store). When TDP leads and velocity is flat, growth is a distribution story.]</w:t>
      </w:r>
    </w:p>
    <w:p>
      <w:pPr>
        <w:spacing w:before="280" w:after="120"/>
      </w:pPr>
      <w:r>
        <w:rPr>
          <w:rFonts w:ascii="Calibri" w:hAnsi="Calibri"/>
          <w:b/>
          <w:i w:val="0"/>
          <w:color w:val="475569"/>
          <w:sz w:val="18"/>
        </w:rPr>
        <w:t>WHAT GROWTH DECOMPOSITION MEANS FOR YOUR PLAN</w:t>
      </w:r>
    </w:p>
    <w:tbl>
      <w:tblPr>
        <w:tblStyle w:val="TableGrid"/>
        <w:tblW w:type="auto" w:w="0"/>
        <w:tblLook w:firstColumn="1" w:firstRow="1" w:lastColumn="0" w:lastRow="0" w:noHBand="0" w:noVBand="1" w:val="04A0"/>
      </w:tblPr>
      <w:tblGrid>
        <w:gridCol w:w="3135"/>
        <w:gridCol w:w="3135"/>
        <w:gridCol w:w="3135"/>
      </w:tblGrid>
      <w:tr>
        <w:tc>
          <w:tcPr>
            <w:tcW w:type="dxa" w:w="2304"/>
            <w:shd w:val="clear" w:color="auto" w:fill="1A1A1A"/>
          </w:tcPr>
          <w:p>
            <w:pPr>
              <w:spacing w:before="80" w:after="80"/>
              <w:ind w:left="80"/>
            </w:pPr>
            <w:r>
              <w:rPr>
                <w:rFonts w:ascii="Calibri" w:hAnsi="Calibri"/>
                <w:b/>
                <w:i w:val="0"/>
                <w:color w:val="FFFFFF"/>
                <w:sz w:val="18"/>
              </w:rPr>
              <w:t>Growth Type</w:t>
            </w:r>
          </w:p>
        </w:tc>
        <w:tc>
          <w:tcPr>
            <w:tcW w:type="dxa" w:w="3600"/>
            <w:shd w:val="clear" w:color="auto" w:fill="1A1A1A"/>
          </w:tcPr>
          <w:p>
            <w:pPr>
              <w:spacing w:before="80" w:after="80"/>
              <w:ind w:left="80"/>
            </w:pPr>
            <w:r>
              <w:rPr>
                <w:rFonts w:ascii="Calibri" w:hAnsi="Calibri"/>
                <w:b/>
                <w:i w:val="0"/>
                <w:color w:val="FFFFFF"/>
                <w:sz w:val="18"/>
              </w:rPr>
              <w:t>What Mo Sees</w:t>
            </w:r>
          </w:p>
        </w:tc>
        <w:tc>
          <w:tcPr>
            <w:tcW w:type="dxa" w:w="3514"/>
            <w:shd w:val="clear" w:color="auto" w:fill="1A1A1A"/>
          </w:tcPr>
          <w:p>
            <w:pPr>
              <w:spacing w:before="80" w:after="80"/>
              <w:ind w:left="80"/>
            </w:pPr>
            <w:r>
              <w:rPr>
                <w:rFonts w:ascii="Calibri" w:hAnsi="Calibri"/>
                <w:b/>
                <w:i w:val="0"/>
                <w:color w:val="FFFFFF"/>
                <w:sz w:val="18"/>
              </w:rPr>
              <w:t>FP&amp;A Implication</w:t>
            </w:r>
          </w:p>
        </w:tc>
      </w:tr>
      <w:tr>
        <w:tc>
          <w:tcPr>
            <w:tcW w:type="dxa" w:w="2304"/>
            <w:shd w:val="clear" w:color="auto" w:fill="FFFFFF"/>
          </w:tcPr>
          <w:p>
            <w:pPr>
              <w:spacing w:before="80" w:after="80"/>
              <w:ind w:left="80"/>
            </w:pPr>
            <w:r>
              <w:rPr>
                <w:rFonts w:ascii="Calibri" w:hAnsi="Calibri"/>
                <w:b/>
                <w:i w:val="0"/>
                <w:color w:val="1A1A1A"/>
                <w:sz w:val="18"/>
              </w:rPr>
              <w:t>Distribution-led growth</w:t>
            </w:r>
          </w:p>
        </w:tc>
        <w:tc>
          <w:tcPr>
            <w:tcW w:type="dxa" w:w="3600"/>
            <w:shd w:val="clear" w:color="auto" w:fill="FFFFFF"/>
          </w:tcPr>
          <w:p>
            <w:pPr>
              <w:spacing w:before="80" w:after="80"/>
              <w:ind w:left="80"/>
            </w:pPr>
            <w:r>
              <w:rPr>
                <w:rFonts w:ascii="Calibri" w:hAnsi="Calibri"/>
                <w:b w:val="0"/>
                <w:i w:val="0"/>
                <w:color w:val="1A1A1A"/>
                <w:sz w:val="18"/>
              </w:rPr>
              <w:t>TDP rising; velocity stable or slightly declining (normalization)</w:t>
            </w:r>
          </w:p>
        </w:tc>
        <w:tc>
          <w:tcPr>
            <w:tcW w:type="dxa" w:w="3514"/>
            <w:shd w:val="clear" w:color="auto" w:fill="FFFFFF"/>
          </w:tcPr>
          <w:p>
            <w:pPr>
              <w:spacing w:before="80" w:after="80"/>
              <w:ind w:left="80"/>
            </w:pPr>
            <w:r>
              <w:rPr>
                <w:rFonts w:ascii="Calibri" w:hAnsi="Calibri"/>
                <w:b w:val="0"/>
                <w:i w:val="0"/>
                <w:color w:val="1A1A1A"/>
                <w:sz w:val="18"/>
              </w:rPr>
              <w:t>Growth is real but depends on continued shelf wins; plan conservatively if reset risk exists</w:t>
            </w:r>
          </w:p>
        </w:tc>
      </w:tr>
      <w:tr>
        <w:tc>
          <w:tcPr>
            <w:tcW w:type="dxa" w:w="2304"/>
            <w:shd w:val="clear" w:color="auto" w:fill="F9FAFB"/>
          </w:tcPr>
          <w:p>
            <w:pPr>
              <w:spacing w:before="80" w:after="80"/>
              <w:ind w:left="80"/>
            </w:pPr>
            <w:r>
              <w:rPr>
                <w:rFonts w:ascii="Calibri" w:hAnsi="Calibri"/>
                <w:b/>
                <w:i w:val="0"/>
                <w:color w:val="1A1A1A"/>
                <w:sz w:val="18"/>
              </w:rPr>
              <w:t>Velocity-led growth</w:t>
            </w:r>
          </w:p>
        </w:tc>
        <w:tc>
          <w:tcPr>
            <w:tcW w:type="dxa" w:w="3600"/>
            <w:shd w:val="clear" w:color="auto" w:fill="F9FAFB"/>
          </w:tcPr>
          <w:p>
            <w:pPr>
              <w:spacing w:before="80" w:after="80"/>
              <w:ind w:left="80"/>
            </w:pPr>
            <w:r>
              <w:rPr>
                <w:rFonts w:ascii="Calibri" w:hAnsi="Calibri"/>
                <w:b w:val="0"/>
                <w:i w:val="0"/>
                <w:color w:val="1A1A1A"/>
                <w:sz w:val="18"/>
              </w:rPr>
              <w:t>TDP stable or modest; velocity rising — consumers rebuying faster</w:t>
            </w:r>
          </w:p>
        </w:tc>
        <w:tc>
          <w:tcPr>
            <w:tcW w:type="dxa" w:w="3514"/>
            <w:shd w:val="clear" w:color="auto" w:fill="F9FAFB"/>
          </w:tcPr>
          <w:p>
            <w:pPr>
              <w:spacing w:before="80" w:after="80"/>
              <w:ind w:left="80"/>
            </w:pPr>
            <w:r>
              <w:rPr>
                <w:rFonts w:ascii="Calibri" w:hAnsi="Calibri"/>
                <w:b w:val="0"/>
                <w:i w:val="0"/>
                <w:color w:val="1A1A1A"/>
                <w:sz w:val="18"/>
              </w:rPr>
              <w:t>Higher-quality demand signal; more repeatable; less dependent on new retail relationships</w:t>
            </w:r>
          </w:p>
        </w:tc>
      </w:tr>
      <w:tr>
        <w:tc>
          <w:tcPr>
            <w:tcW w:type="dxa" w:w="2304"/>
            <w:shd w:val="clear" w:color="auto" w:fill="FFFFFF"/>
          </w:tcPr>
          <w:p>
            <w:pPr>
              <w:spacing w:before="80" w:after="80"/>
              <w:ind w:left="80"/>
            </w:pPr>
            <w:r>
              <w:rPr>
                <w:rFonts w:ascii="Calibri" w:hAnsi="Calibri"/>
                <w:b/>
                <w:i w:val="0"/>
                <w:color w:val="1A1A1A"/>
                <w:sz w:val="18"/>
              </w:rPr>
              <w:t>Promo-led volume</w:t>
            </w:r>
          </w:p>
        </w:tc>
        <w:tc>
          <w:tcPr>
            <w:tcW w:type="dxa" w:w="3600"/>
            <w:shd w:val="clear" w:color="auto" w:fill="FFFFFF"/>
          </w:tcPr>
          <w:p>
            <w:pPr>
              <w:spacing w:before="80" w:after="80"/>
              <w:ind w:left="80"/>
            </w:pPr>
            <w:r>
              <w:rPr>
                <w:rFonts w:ascii="Calibri" w:hAnsi="Calibri"/>
                <w:b w:val="0"/>
                <w:i w:val="0"/>
                <w:color w:val="1A1A1A"/>
                <w:sz w:val="18"/>
              </w:rPr>
              <w:t>Units spike during promo weeks; base demand is stable or declining</w:t>
            </w:r>
          </w:p>
        </w:tc>
        <w:tc>
          <w:tcPr>
            <w:tcW w:type="dxa" w:w="3514"/>
            <w:shd w:val="clear" w:color="auto" w:fill="FFFFFF"/>
          </w:tcPr>
          <w:p>
            <w:pPr>
              <w:spacing w:before="80" w:after="80"/>
              <w:ind w:left="80"/>
            </w:pPr>
            <w:r>
              <w:rPr>
                <w:rFonts w:ascii="Calibri" w:hAnsi="Calibri"/>
                <w:b w:val="0"/>
                <w:i w:val="0"/>
                <w:color w:val="1A1A1A"/>
                <w:sz w:val="18"/>
              </w:rPr>
              <w:t>~30% of BUILT portfolio is promo-linked; plan margin and inventory differently for this portion</w:t>
            </w:r>
          </w:p>
        </w:tc>
      </w:tr>
      <w:tr>
        <w:tc>
          <w:tcPr>
            <w:tcW w:type="dxa" w:w="2304"/>
            <w:shd w:val="clear" w:color="auto" w:fill="F9FAFB"/>
          </w:tcPr>
          <w:p>
            <w:pPr>
              <w:spacing w:before="80" w:after="80"/>
              <w:ind w:left="80"/>
            </w:pPr>
            <w:r>
              <w:rPr>
                <w:rFonts w:ascii="Calibri" w:hAnsi="Calibri"/>
                <w:b/>
                <w:i w:val="0"/>
                <w:color w:val="1A1A1A"/>
                <w:sz w:val="18"/>
              </w:rPr>
              <w:t>New SKU cannibalization</w:t>
            </w:r>
          </w:p>
        </w:tc>
        <w:tc>
          <w:tcPr>
            <w:tcW w:type="dxa" w:w="3600"/>
            <w:shd w:val="clear" w:color="auto" w:fill="F9FAFB"/>
          </w:tcPr>
          <w:p>
            <w:pPr>
              <w:spacing w:before="80" w:after="80"/>
              <w:ind w:left="80"/>
            </w:pPr>
            <w:r>
              <w:rPr>
                <w:rFonts w:ascii="Calibri" w:hAnsi="Calibri"/>
                <w:b w:val="0"/>
                <w:i w:val="0"/>
                <w:color w:val="1A1A1A"/>
                <w:sz w:val="18"/>
              </w:rPr>
              <w:t>New SKU velocity rising; adjacent BUILT SKU velocity declining at same retailer</w:t>
            </w:r>
          </w:p>
        </w:tc>
        <w:tc>
          <w:tcPr>
            <w:tcW w:type="dxa" w:w="3514"/>
            <w:shd w:val="clear" w:color="auto" w:fill="F9FAFB"/>
          </w:tcPr>
          <w:p>
            <w:pPr>
              <w:spacing w:before="80" w:after="80"/>
              <w:ind w:left="80"/>
            </w:pPr>
            <w:r>
              <w:rPr>
                <w:rFonts w:ascii="Calibri" w:hAnsi="Calibri"/>
                <w:b w:val="0"/>
                <w:i w:val="0"/>
                <w:color w:val="1A1A1A"/>
                <w:sz w:val="18"/>
              </w:rPr>
              <w:t>Total BUILT units may hold flat while mix shifts; revenue and margin quality change with it</w:t>
            </w:r>
          </w:p>
        </w:tc>
      </w:tr>
    </w:tbl>
    <w:p>
      <w:pPr>
        <w:spacing w:before="0" w:after="0"/>
      </w:pPr>
      <w:r>
        <w:rPr>
          <w:sz w:val="20"/>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val="clear" w:color="auto" w:fill="F8FAFC"/>
            <w:tcBorders>
              <w:top w:val="single" w:sz="4" w:space="0" w:color="CBD5E1"/>
              <w:right w:val="single" w:sz="4" w:space="0" w:color="CBD5E1"/>
              <w:bottom w:val="single" w:sz="4" w:space="0" w:color="CBD5E1"/>
              <w:left w:val="single" w:sz="18" w:space="0" w:color="CBD5E1"/>
            </w:tcBorders>
          </w:tcPr>
          <w:p>
            <w:pPr>
              <w:spacing w:before="160" w:after="80"/>
              <w:ind w:left="160" w:right="160"/>
            </w:pPr>
            <w:r>
              <w:rPr>
                <w:rFonts w:ascii="Calibri" w:hAnsi="Calibri"/>
                <w:b/>
                <w:i w:val="0"/>
                <w:color w:val="1A1A1A"/>
                <w:sz w:val="20"/>
              </w:rPr>
              <w:t xml:space="preserve">Context that matters: </w:t>
            </w:r>
            <w:r>
              <w:rPr>
                <w:rFonts w:ascii="Calibri" w:hAnsi="Calibri"/>
                <w:b w:val="0"/>
                <w:i w:val="0"/>
                <w:color w:val="1A1A1A"/>
                <w:sz w:val="20"/>
              </w:rPr>
              <w:t>BUILT’s velocity is trending down slightly as distribution expands — but the brand remains the highest-velocity product in the top-10 bar set at key accounts. Mo holds this context in the model rather than flagging velocity softness as a negative signal when it is actually normalization.</w:t>
            </w:r>
          </w:p>
          <w:p>
            <w:pPr>
              <w:spacing w:before="0" w:after="120"/>
            </w:pPr>
          </w:p>
        </w:tc>
      </w:tr>
    </w:tbl>
    <w:p>
      <w:pPr>
        <w:spacing w:before="0" w:after="0"/>
      </w:pPr>
      <w:r>
        <w:rPr>
          <w:sz w:val="16"/>
        </w:rPr>
      </w:r>
    </w:p>
    <w:p>
      <w:pPr>
        <w:spacing w:before="360" w:after="60"/>
        <w:shd w:val="clear" w:color="auto" w:fill="F0FDF4"/>
      </w:pPr>
      <w:r>
        <w:rPr>
          <w:rFonts w:ascii="Calibri" w:hAnsi="Calibri"/>
          <w:b/>
          <w:i w:val="0"/>
          <w:color w:val="15803D"/>
          <w:sz w:val="16"/>
        </w:rPr>
        <w:t xml:space="preserve">  FINANCE OPERATIONS  </w:t>
      </w:r>
    </w:p>
    <w:p>
      <w:pPr>
        <w:spacing w:before="80" w:after="200"/>
        <w:pBdr>
          <w:bottom w:val="single" w:sz="6" w:space="4" w:color="1A1A1A"/>
        </w:pBdr>
      </w:pPr>
      <w:r>
        <w:rPr>
          <w:rFonts w:ascii="Calibri" w:hAnsi="Calibri"/>
          <w:b/>
          <w:i w:val="0"/>
          <w:color w:val="1A1A1A"/>
          <w:sz w:val="30"/>
        </w:rPr>
        <w:t>What Your Finance Team Gets</w:t>
      </w:r>
    </w:p>
    <w:p>
      <w:pPr>
        <w:spacing w:before="0" w:after="200"/>
      </w:pPr>
      <w:r>
        <w:rPr>
          <w:rFonts w:ascii="Calibri" w:hAnsi="Calibri"/>
          <w:b w:val="0"/>
          <w:i w:val="0"/>
          <w:color w:val="1A1A1A"/>
          <w:sz w:val="22"/>
        </w:rPr>
        <w:t>Mo is a finance control layer for demand planning — not an analytics experiment. Your team gets tighter numbers, cleaner ROI reads, and a systematic way to prove out every figure in the operating plan, from raw SPINS data to the revenue call.</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03"/>
        <w:gridCol w:w="4703"/>
      </w:tblGrid>
      <w:tr>
        <w:tc>
          <w:tcPr>
            <w:tcW w:type="dxa" w:w="4709"/>
            <w:shd w:val="clear" w:color="auto" w:fill="F8FAFC"/>
            <w:tcBorders>
              <w:top w:val="single" w:sz="12" w:space="0" w:color="1A1A1A"/>
              <w:right w:val="none" w:sz="0" w:space="0" w:color="auto"/>
              <w:bottom w:val="none" w:sz="0" w:space="0" w:color="auto"/>
              <w:left w:val="none" w:sz="0" w:space="0" w:color="auto"/>
            </w:tcBorders>
          </w:tcPr>
          <w:p>
            <w:pPr>
              <w:spacing w:before="160" w:after="80"/>
              <w:ind w:left="120" w:right="160"/>
            </w:pPr>
            <w:r>
              <w:rPr>
                <w:rFonts w:ascii="Calibri" w:hAnsi="Calibri"/>
                <w:b/>
                <w:i w:val="0"/>
                <w:color w:val="1A1A1A"/>
                <w:sz w:val="20"/>
              </w:rPr>
              <w:t>Revenue Planning Gets a Tighter Number</w:t>
            </w:r>
          </w:p>
          <w:p>
            <w:pPr>
              <w:spacing w:before="0" w:after="160"/>
              <w:ind w:left="120" w:right="160"/>
            </w:pPr>
            <w:r>
              <w:rPr>
                <w:rFonts w:ascii="Calibri" w:hAnsi="Calibri"/>
                <w:b w:val="0"/>
                <w:i w:val="0"/>
                <w:color w:val="475569"/>
                <w:sz w:val="18"/>
              </w:rPr>
              <w:t>13-week retailer forecasts grounded in current SPINS — with a realistic range — replace single-point extrapolations that fail when a retailer resets or runs a promotion.</w:t>
            </w:r>
          </w:p>
        </w:tc>
        <w:tc>
          <w:tcPr>
            <w:tcW w:type="dxa" w:w="4709"/>
            <w:shd w:val="clear" w:color="auto" w:fill="F8FAFC"/>
            <w:tcBorders>
              <w:top w:val="single" w:sz="12" w:space="0" w:color="1A1A1A"/>
              <w:right w:val="none" w:sz="0" w:space="0" w:color="auto"/>
              <w:bottom w:val="none" w:sz="0" w:space="0" w:color="auto"/>
              <w:left w:val="none" w:sz="0" w:space="0" w:color="auto"/>
            </w:tcBorders>
          </w:tcPr>
          <w:p>
            <w:pPr>
              <w:spacing w:before="160" w:after="80"/>
              <w:ind w:left="120" w:right="160"/>
            </w:pPr>
            <w:r>
              <w:rPr>
                <w:rFonts w:ascii="Calibri" w:hAnsi="Calibri"/>
                <w:b/>
                <w:i w:val="0"/>
                <w:color w:val="1A1A1A"/>
                <w:sz w:val="20"/>
              </w:rPr>
              <w:t>Inventory Risk Gets a Range</w:t>
            </w:r>
          </w:p>
          <w:p>
            <w:pPr>
              <w:spacing w:before="0" w:after="160"/>
              <w:ind w:left="120" w:right="160"/>
            </w:pPr>
            <w:r>
              <w:rPr>
                <w:rFonts w:ascii="Calibri" w:hAnsi="Calibri"/>
                <w:b w:val="0"/>
                <w:i w:val="0"/>
                <w:color w:val="475569"/>
                <w:sz w:val="18"/>
              </w:rPr>
              <w:t>Floor/plan/ceiling per account gives supply chain a practical downside and upside. No more safety stock built on optimistic point forecasts.</w:t>
            </w:r>
          </w:p>
        </w:tc>
      </w:tr>
    </w:tbl>
    <w:p>
      <w:pPr>
        <w:spacing w:before="0" w:after="0"/>
      </w:pPr>
      <w:r>
        <w:rPr>
          <w:sz w:val="12"/>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03"/>
        <w:gridCol w:w="4703"/>
      </w:tblGrid>
      <w:tr>
        <w:tc>
          <w:tcPr>
            <w:tcW w:type="dxa" w:w="4709"/>
            <w:shd w:val="clear" w:color="auto" w:fill="F8FAFC"/>
            <w:tcBorders>
              <w:top w:val="single" w:sz="12" w:space="0" w:color="1A1A1A"/>
              <w:right w:val="none" w:sz="0" w:space="0" w:color="auto"/>
              <w:bottom w:val="none" w:sz="0" w:space="0" w:color="auto"/>
              <w:left w:val="none" w:sz="0" w:space="0" w:color="auto"/>
            </w:tcBorders>
          </w:tcPr>
          <w:p>
            <w:pPr>
              <w:spacing w:before="160" w:after="80"/>
              <w:ind w:left="120" w:right="160"/>
            </w:pPr>
            <w:r>
              <w:rPr>
                <w:rFonts w:ascii="Calibri" w:hAnsi="Calibri"/>
                <w:b/>
                <w:i w:val="0"/>
                <w:color w:val="1A1A1A"/>
                <w:sz w:val="20"/>
              </w:rPr>
              <w:t>Trade Spend Gets Accountability</w:t>
            </w:r>
          </w:p>
          <w:p>
            <w:pPr>
              <w:spacing w:before="0" w:after="160"/>
              <w:ind w:left="120" w:right="160"/>
            </w:pPr>
            <w:r>
              <w:rPr>
                <w:rFonts w:ascii="Calibri" w:hAnsi="Calibri"/>
                <w:b w:val="0"/>
                <w:i w:val="0"/>
                <w:color w:val="475569"/>
                <w:sz w:val="18"/>
              </w:rPr>
              <w:t>Causal counterfactual shows what would have happened without the promo. Price-only lift vs. total event lift, separated and quantified, every time.</w:t>
            </w:r>
          </w:p>
        </w:tc>
        <w:tc>
          <w:tcPr>
            <w:tcW w:type="dxa" w:w="4709"/>
            <w:shd w:val="clear" w:color="auto" w:fill="F8FAFC"/>
            <w:tcBorders>
              <w:top w:val="single" w:sz="12" w:space="0" w:color="1A1A1A"/>
              <w:right w:val="none" w:sz="0" w:space="0" w:color="auto"/>
              <w:bottom w:val="none" w:sz="0" w:space="0" w:color="auto"/>
              <w:left w:val="none" w:sz="0" w:space="0" w:color="auto"/>
            </w:tcBorders>
          </w:tcPr>
          <w:p>
            <w:pPr>
              <w:spacing w:before="160" w:after="80"/>
              <w:ind w:left="120" w:right="160"/>
            </w:pPr>
            <w:r>
              <w:rPr>
                <w:rFonts w:ascii="Calibri" w:hAnsi="Calibri"/>
                <w:b/>
                <w:i w:val="0"/>
                <w:color w:val="1A1A1A"/>
                <w:sz w:val="20"/>
              </w:rPr>
              <w:t>New SKU Launches Get a Guard Rail</w:t>
            </w:r>
          </w:p>
          <w:p>
            <w:pPr>
              <w:spacing w:before="0" w:after="160"/>
              <w:ind w:left="120" w:right="160"/>
            </w:pPr>
            <w:r>
              <w:rPr>
                <w:rFonts w:ascii="Calibri" w:hAnsi="Calibri"/>
                <w:b w:val="0"/>
                <w:i w:val="0"/>
                <w:color w:val="475569"/>
                <w:sz w:val="18"/>
              </w:rPr>
              <w:t>Cannibalization pressure tracked from week 8 onward. Know whether a new flavor is growing the category or cannibalizing Brownie Batter before you commit to the full inventory build.</w:t>
            </w:r>
          </w:p>
        </w:tc>
      </w:tr>
    </w:tbl>
    <w:p>
      <w:pPr>
        <w:spacing w:before="0" w:after="0"/>
      </w:pPr>
      <w:r>
        <w:rPr>
          <w:sz w:val="12"/>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03"/>
        <w:gridCol w:w="4703"/>
      </w:tblGrid>
      <w:tr>
        <w:tc>
          <w:tcPr>
            <w:tcW w:type="dxa" w:w="4709"/>
            <w:shd w:val="clear" w:color="auto" w:fill="F8FAFC"/>
            <w:tcBorders>
              <w:top w:val="single" w:sz="12" w:space="0" w:color="1A1A1A"/>
              <w:right w:val="none" w:sz="0" w:space="0" w:color="auto"/>
              <w:bottom w:val="none" w:sz="0" w:space="0" w:color="auto"/>
              <w:left w:val="none" w:sz="0" w:space="0" w:color="auto"/>
            </w:tcBorders>
          </w:tcPr>
          <w:p>
            <w:pPr>
              <w:spacing w:before="160" w:after="80"/>
              <w:ind w:left="120" w:right="160"/>
            </w:pPr>
            <w:r>
              <w:rPr>
                <w:rFonts w:ascii="Calibri" w:hAnsi="Calibri"/>
                <w:b/>
                <w:i w:val="0"/>
                <w:color w:val="1A1A1A"/>
                <w:sz w:val="20"/>
              </w:rPr>
              <w:t>Price Decisions Get Evidence</w:t>
            </w:r>
          </w:p>
          <w:p>
            <w:pPr>
              <w:spacing w:before="0" w:after="160"/>
              <w:ind w:left="120" w:right="160"/>
            </w:pPr>
            <w:r>
              <w:rPr>
                <w:rFonts w:ascii="Calibri" w:hAnsi="Calibri"/>
                <w:b w:val="0"/>
                <w:i w:val="0"/>
                <w:color w:val="475569"/>
                <w:sz w:val="18"/>
              </w:rPr>
              <w:t>Per-retailer elasticity tells you where price moves will lift units and where they won’t. Spend promo dollars where the math supports it.</w:t>
            </w:r>
          </w:p>
        </w:tc>
        <w:tc>
          <w:tcPr>
            <w:tcW w:type="dxa" w:w="4709"/>
            <w:shd w:val="clear" w:color="auto" w:fill="F8FAFC"/>
            <w:tcBorders>
              <w:top w:val="single" w:sz="12" w:space="0" w:color="1A1A1A"/>
              <w:right w:val="none" w:sz="0" w:space="0" w:color="auto"/>
              <w:bottom w:val="none" w:sz="0" w:space="0" w:color="auto"/>
              <w:left w:val="none" w:sz="0" w:space="0" w:color="auto"/>
            </w:tcBorders>
          </w:tcPr>
          <w:p>
            <w:pPr>
              <w:spacing w:before="160" w:after="80"/>
              <w:ind w:left="120" w:right="160"/>
            </w:pPr>
            <w:r>
              <w:rPr>
                <w:rFonts w:ascii="Calibri" w:hAnsi="Calibri"/>
                <w:b/>
                <w:i w:val="0"/>
                <w:color w:val="1A1A1A"/>
                <w:sz w:val="20"/>
              </w:rPr>
              <w:t>Analyst Capacity Gets Extended</w:t>
            </w:r>
          </w:p>
          <w:p>
            <w:pPr>
              <w:spacing w:before="0" w:after="160"/>
              <w:ind w:left="120" w:right="160"/>
            </w:pPr>
            <w:r>
              <w:rPr>
                <w:rFonts w:ascii="Calibri" w:hAnsi="Calibri"/>
                <w:b w:val="0"/>
                <w:i w:val="0"/>
                <w:color w:val="475569"/>
                <w:sz w:val="18"/>
              </w:rPr>
              <w:t>Brian’s analytics team and FP&amp;A together have approximately 80 analyst hours per four-week cycle. Mo’s automation delivers the equivalent of 250–535 additional hours of analysis per cycle — structurally out of reach without headcount expansion. Analysts spend that freed time on interpretation, exception management, and stakeholder communication.</w:t>
            </w:r>
          </w:p>
        </w:tc>
      </w:tr>
    </w:tbl>
    <w:p>
      <w:pPr>
        <w:spacing w:before="0" w:after="0"/>
      </w:pPr>
      <w:r>
        <w:rPr>
          <w:sz w:val="12"/>
        </w:rPr>
      </w:r>
    </w:p>
    <w:p>
      <w:pPr>
        <w:spacing w:before="0" w:after="0"/>
      </w:pPr>
      <w:r>
        <w:rPr>
          <w:sz w:val="16"/>
        </w:rPr>
      </w:r>
    </w:p>
    <w:p>
      <w:pPr>
        <w:spacing w:before="280" w:after="120"/>
      </w:pPr>
      <w:r>
        <w:rPr>
          <w:rFonts w:ascii="Calibri" w:hAnsi="Calibri"/>
          <w:b/>
          <w:i w:val="0"/>
          <w:color w:val="475569"/>
          <w:sz w:val="18"/>
        </w:rPr>
        <w:t>GO FORWARD PLAN: HOW YOUR TEAM USES MO</w:t>
      </w:r>
    </w:p>
    <w:tbl>
      <w:tblPr>
        <w:tblStyle w:val="TableGrid"/>
        <w:tblW w:type="auto" w:w="0"/>
        <w:tblLook w:firstColumn="1" w:firstRow="1" w:lastColumn="0" w:lastRow="0" w:noHBand="0" w:noVBand="1" w:val="04A0"/>
      </w:tblPr>
      <w:tblGrid>
        <w:gridCol w:w="2351"/>
        <w:gridCol w:w="2351"/>
        <w:gridCol w:w="2351"/>
        <w:gridCol w:w="2351"/>
      </w:tblGrid>
      <w:tr>
        <w:tc>
          <w:tcPr>
            <w:tcW w:type="dxa" w:w="1728"/>
            <w:shd w:val="clear" w:color="auto" w:fill="1A1A1A"/>
          </w:tcPr>
          <w:p>
            <w:pPr>
              <w:spacing w:before="80" w:after="80"/>
              <w:ind w:left="80"/>
            </w:pPr>
            <w:r>
              <w:rPr>
                <w:rFonts w:ascii="Calibri" w:hAnsi="Calibri"/>
                <w:b/>
                <w:i w:val="0"/>
                <w:color w:val="FFFFFF"/>
                <w:sz w:val="18"/>
              </w:rPr>
              <w:t>Role</w:t>
            </w:r>
          </w:p>
        </w:tc>
        <w:tc>
          <w:tcPr>
            <w:tcW w:type="dxa" w:w="2448"/>
            <w:shd w:val="clear" w:color="auto" w:fill="1A1A1A"/>
          </w:tcPr>
          <w:p>
            <w:pPr>
              <w:spacing w:before="80" w:after="80"/>
              <w:ind w:left="80"/>
            </w:pPr>
            <w:r>
              <w:rPr>
                <w:rFonts w:ascii="Calibri" w:hAnsi="Calibri"/>
                <w:b/>
                <w:i w:val="0"/>
                <w:color w:val="FFFFFF"/>
                <w:sz w:val="18"/>
              </w:rPr>
              <w:t>Screen / Tool</w:t>
            </w:r>
          </w:p>
        </w:tc>
        <w:tc>
          <w:tcPr>
            <w:tcW w:type="dxa" w:w="2016"/>
            <w:shd w:val="clear" w:color="auto" w:fill="1A1A1A"/>
          </w:tcPr>
          <w:p>
            <w:pPr>
              <w:spacing w:before="80" w:after="80"/>
              <w:ind w:left="80"/>
            </w:pPr>
            <w:r>
              <w:rPr>
                <w:rFonts w:ascii="Calibri" w:hAnsi="Calibri"/>
                <w:b/>
                <w:i w:val="0"/>
                <w:color w:val="FFFFFF"/>
                <w:sz w:val="18"/>
              </w:rPr>
              <w:t>When They Use It</w:t>
            </w:r>
          </w:p>
        </w:tc>
        <w:tc>
          <w:tcPr>
            <w:tcW w:type="dxa" w:w="3226"/>
            <w:shd w:val="clear" w:color="auto" w:fill="1A1A1A"/>
          </w:tcPr>
          <w:p>
            <w:pPr>
              <w:spacing w:before="80" w:after="80"/>
              <w:ind w:left="80"/>
            </w:pPr>
            <w:r>
              <w:rPr>
                <w:rFonts w:ascii="Calibri" w:hAnsi="Calibri"/>
                <w:b/>
                <w:i w:val="0"/>
                <w:color w:val="FFFFFF"/>
                <w:sz w:val="18"/>
              </w:rPr>
              <w:t>What They Walk Away With</w:t>
            </w:r>
          </w:p>
        </w:tc>
      </w:tr>
      <w:tr>
        <w:tc>
          <w:tcPr>
            <w:tcW w:type="dxa" w:w="1728"/>
            <w:shd w:val="clear" w:color="auto" w:fill="FFFFFF"/>
          </w:tcPr>
          <w:p>
            <w:pPr>
              <w:spacing w:before="80" w:after="80"/>
              <w:ind w:left="80"/>
            </w:pPr>
            <w:r>
              <w:rPr>
                <w:rFonts w:ascii="Calibri" w:hAnsi="Calibri"/>
                <w:b/>
                <w:i w:val="0"/>
                <w:color w:val="1A1A1A"/>
                <w:sz w:val="18"/>
              </w:rPr>
              <w:t>FP&amp;A Analyst</w:t>
            </w:r>
          </w:p>
        </w:tc>
        <w:tc>
          <w:tcPr>
            <w:tcW w:type="dxa" w:w="2448"/>
            <w:shd w:val="clear" w:color="auto" w:fill="FFFFFF"/>
          </w:tcPr>
          <w:p>
            <w:pPr>
              <w:spacing w:before="80" w:after="80"/>
              <w:ind w:left="80"/>
            </w:pPr>
            <w:r>
              <w:rPr>
                <w:rFonts w:ascii="Calibri" w:hAnsi="Calibri"/>
                <w:b w:val="0"/>
                <w:i w:val="0"/>
                <w:color w:val="1A1A1A"/>
                <w:sz w:val="18"/>
              </w:rPr>
              <w:t>Forecast Accuracy Dashboard → SKU Retailer View</w:t>
            </w:r>
          </w:p>
        </w:tc>
        <w:tc>
          <w:tcPr>
            <w:tcW w:type="dxa" w:w="2016"/>
            <w:shd w:val="clear" w:color="auto" w:fill="FFFFFF"/>
          </w:tcPr>
          <w:p>
            <w:pPr>
              <w:spacing w:before="80" w:after="80"/>
              <w:ind w:left="80"/>
            </w:pPr>
            <w:r>
              <w:rPr>
                <w:rFonts w:ascii="Calibri" w:hAnsi="Calibri"/>
                <w:b w:val="0"/>
                <w:i w:val="0"/>
                <w:color w:val="1A1A1A"/>
                <w:sz w:val="18"/>
              </w:rPr>
              <w:t>First week of each 4-week SPINS cycle</w:t>
            </w:r>
          </w:p>
        </w:tc>
        <w:tc>
          <w:tcPr>
            <w:tcW w:type="dxa" w:w="3226"/>
            <w:shd w:val="clear" w:color="auto" w:fill="FFFFFF"/>
          </w:tcPr>
          <w:p>
            <w:pPr>
              <w:spacing w:before="80" w:after="80"/>
              <w:ind w:left="80"/>
            </w:pPr>
            <w:r>
              <w:rPr>
                <w:rFonts w:ascii="Calibri" w:hAnsi="Calibri"/>
                <w:b w:val="0"/>
                <w:i w:val="0"/>
                <w:color w:val="1A1A1A"/>
                <w:sz w:val="18"/>
              </w:rPr>
              <w:t>Updated wMAPE vs. prior cycle; which SKU × retailer pairs improved or degraded; ready for the revenue call without a manual SPINS pull</w:t>
            </w:r>
          </w:p>
        </w:tc>
      </w:tr>
      <w:tr>
        <w:tc>
          <w:tcPr>
            <w:tcW w:type="dxa" w:w="1728"/>
            <w:shd w:val="clear" w:color="auto" w:fill="F9FAFB"/>
          </w:tcPr>
          <w:p>
            <w:pPr>
              <w:spacing w:before="80" w:after="80"/>
              <w:ind w:left="80"/>
            </w:pPr>
            <w:r>
              <w:rPr>
                <w:rFonts w:ascii="Calibri" w:hAnsi="Calibri"/>
                <w:b/>
                <w:i w:val="0"/>
                <w:color w:val="1A1A1A"/>
                <w:sz w:val="18"/>
              </w:rPr>
              <w:t>Brian (Analytics Lead)</w:t>
            </w:r>
          </w:p>
        </w:tc>
        <w:tc>
          <w:tcPr>
            <w:tcW w:type="dxa" w:w="2448"/>
            <w:shd w:val="clear" w:color="auto" w:fill="F9FAFB"/>
          </w:tcPr>
          <w:p>
            <w:pPr>
              <w:spacing w:before="80" w:after="80"/>
              <w:ind w:left="80"/>
            </w:pPr>
            <w:r>
              <w:rPr>
                <w:rFonts w:ascii="Calibri" w:hAnsi="Calibri"/>
                <w:b w:val="0"/>
                <w:i w:val="0"/>
                <w:color w:val="1A1A1A"/>
                <w:sz w:val="18"/>
              </w:rPr>
              <w:t>Cannibalization Suite → Event Queue → Pre/Post Analysis</w:t>
            </w:r>
          </w:p>
        </w:tc>
        <w:tc>
          <w:tcPr>
            <w:tcW w:type="dxa" w:w="2016"/>
            <w:shd w:val="clear" w:color="auto" w:fill="F9FAFB"/>
          </w:tcPr>
          <w:p>
            <w:pPr>
              <w:spacing w:before="80" w:after="80"/>
              <w:ind w:left="80"/>
            </w:pPr>
            <w:r>
              <w:rPr>
                <w:rFonts w:ascii="Calibri" w:hAnsi="Calibri"/>
                <w:b w:val="0"/>
                <w:i w:val="0"/>
                <w:color w:val="1A1A1A"/>
                <w:sz w:val="18"/>
              </w:rPr>
              <w:t>When a new SKU launches or a quarterly review is due</w:t>
            </w:r>
          </w:p>
        </w:tc>
        <w:tc>
          <w:tcPr>
            <w:tcW w:type="dxa" w:w="3226"/>
            <w:shd w:val="clear" w:color="auto" w:fill="F9FAFB"/>
          </w:tcPr>
          <w:p>
            <w:pPr>
              <w:spacing w:before="80" w:after="80"/>
              <w:ind w:left="80"/>
            </w:pPr>
            <w:r>
              <w:rPr>
                <w:rFonts w:ascii="Calibri" w:hAnsi="Calibri"/>
                <w:b w:val="0"/>
                <w:i w:val="0"/>
                <w:color w:val="1A1A1A"/>
                <w:sz w:val="18"/>
              </w:rPr>
              <w:t>Early read on portfolio self-competition before it surfaces in the revenue call; recommendation on whether to adjust trade support or reposition a SKU</w:t>
            </w:r>
          </w:p>
        </w:tc>
      </w:tr>
      <w:tr>
        <w:tc>
          <w:tcPr>
            <w:tcW w:type="dxa" w:w="1728"/>
            <w:shd w:val="clear" w:color="auto" w:fill="FFFFFF"/>
          </w:tcPr>
          <w:p>
            <w:pPr>
              <w:spacing w:before="80" w:after="80"/>
              <w:ind w:left="80"/>
            </w:pPr>
            <w:r>
              <w:rPr>
                <w:rFonts w:ascii="Calibri" w:hAnsi="Calibri"/>
                <w:b/>
                <w:i w:val="0"/>
                <w:color w:val="1A1A1A"/>
                <w:sz w:val="18"/>
              </w:rPr>
              <w:t>Trade / Sales Finance</w:t>
            </w:r>
          </w:p>
        </w:tc>
        <w:tc>
          <w:tcPr>
            <w:tcW w:type="dxa" w:w="2448"/>
            <w:shd w:val="clear" w:color="auto" w:fill="FFFFFF"/>
          </w:tcPr>
          <w:p>
            <w:pPr>
              <w:spacing w:before="80" w:after="80"/>
              <w:ind w:left="80"/>
            </w:pPr>
            <w:r>
              <w:rPr>
                <w:rFonts w:ascii="Calibri" w:hAnsi="Calibri"/>
                <w:b w:val="0"/>
                <w:i w:val="0"/>
                <w:color w:val="1A1A1A"/>
                <w:sz w:val="18"/>
              </w:rPr>
              <w:t>Price Elasticity Suite → Scenario Modeling</w:t>
            </w:r>
          </w:p>
        </w:tc>
        <w:tc>
          <w:tcPr>
            <w:tcW w:type="dxa" w:w="2016"/>
            <w:shd w:val="clear" w:color="auto" w:fill="FFFFFF"/>
          </w:tcPr>
          <w:p>
            <w:pPr>
              <w:spacing w:before="80" w:after="80"/>
              <w:ind w:left="80"/>
            </w:pPr>
            <w:r>
              <w:rPr>
                <w:rFonts w:ascii="Calibri" w:hAnsi="Calibri"/>
                <w:b w:val="0"/>
                <w:i w:val="0"/>
                <w:color w:val="1A1A1A"/>
                <w:sz w:val="18"/>
              </w:rPr>
              <w:t>Before committing to a TPR or promotional event</w:t>
            </w:r>
          </w:p>
        </w:tc>
        <w:tc>
          <w:tcPr>
            <w:tcW w:type="dxa" w:w="3226"/>
            <w:shd w:val="clear" w:color="auto" w:fill="FFFFFF"/>
          </w:tcPr>
          <w:p>
            <w:pPr>
              <w:spacing w:before="80" w:after="80"/>
              <w:ind w:left="80"/>
            </w:pPr>
            <w:r>
              <w:rPr>
                <w:rFonts w:ascii="Calibri" w:hAnsi="Calibri"/>
                <w:b w:val="0"/>
                <w:i w:val="0"/>
                <w:color w:val="1A1A1A"/>
                <w:sz w:val="18"/>
              </w:rPr>
              <w:t>Per-account elasticity estimate with confidence range; expected unit lift and margin cost side by side; which accounts to prioritize and which to hold</w:t>
            </w:r>
          </w:p>
        </w:tc>
      </w:tr>
      <w:tr>
        <w:tc>
          <w:tcPr>
            <w:tcW w:type="dxa" w:w="1728"/>
            <w:shd w:val="clear" w:color="auto" w:fill="F9FAFB"/>
          </w:tcPr>
          <w:p>
            <w:pPr>
              <w:spacing w:before="80" w:after="80"/>
              <w:ind w:left="80"/>
            </w:pPr>
            <w:r>
              <w:rPr>
                <w:rFonts w:ascii="Calibri" w:hAnsi="Calibri"/>
                <w:b/>
                <w:i w:val="0"/>
                <w:color w:val="1A1A1A"/>
                <w:sz w:val="18"/>
              </w:rPr>
              <w:t>CFO / Finance Leadership</w:t>
            </w:r>
          </w:p>
        </w:tc>
        <w:tc>
          <w:tcPr>
            <w:tcW w:type="dxa" w:w="2448"/>
            <w:shd w:val="clear" w:color="auto" w:fill="F9FAFB"/>
          </w:tcPr>
          <w:p>
            <w:pPr>
              <w:spacing w:before="80" w:after="80"/>
              <w:ind w:left="80"/>
            </w:pPr>
            <w:r>
              <w:rPr>
                <w:rFonts w:ascii="Calibri" w:hAnsi="Calibri"/>
                <w:b w:val="0"/>
                <w:i w:val="0"/>
                <w:color w:val="1A1A1A"/>
                <w:sz w:val="18"/>
              </w:rPr>
              <w:t>Mo Chat → Board summary questions</w:t>
            </w:r>
          </w:p>
        </w:tc>
        <w:tc>
          <w:tcPr>
            <w:tcW w:type="dxa" w:w="2016"/>
            <w:shd w:val="clear" w:color="auto" w:fill="F9FAFB"/>
          </w:tcPr>
          <w:p>
            <w:pPr>
              <w:spacing w:before="80" w:after="80"/>
              <w:ind w:left="80"/>
            </w:pPr>
            <w:r>
              <w:rPr>
                <w:rFonts w:ascii="Calibri" w:hAnsi="Calibri"/>
                <w:b w:val="0"/>
                <w:i w:val="0"/>
                <w:color w:val="1A1A1A"/>
                <w:sz w:val="18"/>
              </w:rPr>
              <w:t>Board prep or quarterly close; ad hoc during revenue calls</w:t>
            </w:r>
          </w:p>
        </w:tc>
        <w:tc>
          <w:tcPr>
            <w:tcW w:type="dxa" w:w="3226"/>
            <w:shd w:val="clear" w:color="auto" w:fill="F9FAFB"/>
          </w:tcPr>
          <w:p>
            <w:pPr>
              <w:spacing w:before="80" w:after="80"/>
              <w:ind w:left="80"/>
            </w:pPr>
            <w:r>
              <w:rPr>
                <w:rFonts w:ascii="Calibri" w:hAnsi="Calibri"/>
                <w:b w:val="0"/>
                <w:i w:val="0"/>
                <w:color w:val="1A1A1A"/>
                <w:sz w:val="18"/>
              </w:rPr>
              <w:t>Plain-English answers with cited SPINS data; ranked driver explanation for any forecast miss; exportable summary for board package</w:t>
            </w:r>
          </w:p>
        </w:tc>
      </w:tr>
      <w:tr>
        <w:tc>
          <w:tcPr>
            <w:tcW w:type="dxa" w:w="1728"/>
            <w:shd w:val="clear" w:color="auto" w:fill="FFFFFF"/>
          </w:tcPr>
          <w:p>
            <w:pPr>
              <w:spacing w:before="80" w:after="80"/>
              <w:ind w:left="80"/>
            </w:pPr>
            <w:r>
              <w:rPr>
                <w:rFonts w:ascii="Calibri" w:hAnsi="Calibri"/>
                <w:b/>
                <w:i w:val="0"/>
                <w:color w:val="1A1A1A"/>
                <w:sz w:val="18"/>
              </w:rPr>
              <w:t>All Roles</w:t>
            </w:r>
          </w:p>
        </w:tc>
        <w:tc>
          <w:tcPr>
            <w:tcW w:type="dxa" w:w="2448"/>
            <w:shd w:val="clear" w:color="auto" w:fill="FFFFFF"/>
          </w:tcPr>
          <w:p>
            <w:pPr>
              <w:spacing w:before="80" w:after="80"/>
              <w:ind w:left="80"/>
            </w:pPr>
            <w:r>
              <w:rPr>
                <w:rFonts w:ascii="Calibri" w:hAnsi="Calibri"/>
                <w:b w:val="0"/>
                <w:i w:val="0"/>
                <w:color w:val="1A1A1A"/>
                <w:sz w:val="18"/>
              </w:rPr>
              <w:t>Mo Chat natural language interface</w:t>
            </w:r>
          </w:p>
        </w:tc>
        <w:tc>
          <w:tcPr>
            <w:tcW w:type="dxa" w:w="2016"/>
            <w:shd w:val="clear" w:color="auto" w:fill="FFFFFF"/>
          </w:tcPr>
          <w:p>
            <w:pPr>
              <w:spacing w:before="80" w:after="80"/>
              <w:ind w:left="80"/>
            </w:pPr>
            <w:r>
              <w:rPr>
                <w:rFonts w:ascii="Calibri" w:hAnsi="Calibri"/>
                <w:b w:val="0"/>
                <w:i w:val="0"/>
                <w:color w:val="1A1A1A"/>
                <w:sz w:val="18"/>
              </w:rPr>
              <w:t>Any time a question arises that would otherwise require a SPINS analyst</w:t>
            </w:r>
          </w:p>
        </w:tc>
        <w:tc>
          <w:tcPr>
            <w:tcW w:type="dxa" w:w="3226"/>
            <w:shd w:val="clear" w:color="auto" w:fill="FFFFFF"/>
          </w:tcPr>
          <w:p>
            <w:pPr>
              <w:spacing w:before="80" w:after="80"/>
              <w:ind w:left="80"/>
            </w:pPr>
            <w:r>
              <w:rPr>
                <w:rFonts w:ascii="Calibri" w:hAnsi="Calibri"/>
                <w:b w:val="0"/>
                <w:i w:val="0"/>
                <w:color w:val="1A1A1A"/>
                <w:sz w:val="18"/>
              </w:rPr>
              <w:t>Answer in seconds with a data citation, a confidence level, and a navigation link to the underlying screen for verification</w:t>
            </w:r>
          </w:p>
        </w:tc>
      </w:tr>
    </w:tbl>
    <w:p>
      <w:pPr>
        <w:spacing w:before="0" w:after="0"/>
      </w:pPr>
      <w:r>
        <w:rPr>
          <w:sz w:val="20"/>
        </w:rPr>
      </w:r>
    </w:p>
    <w:p>
      <w:pPr>
        <w:spacing w:before="280" w:after="120"/>
      </w:pPr>
      <w:r>
        <w:rPr>
          <w:rFonts w:ascii="Calibri" w:hAnsi="Calibri"/>
          <w:b/>
          <w:i w:val="0"/>
          <w:color w:val="475569"/>
          <w:sz w:val="18"/>
        </w:rPr>
        <w:t>INPUTS THAT COMPOUND ACCURACY FURTHER</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03"/>
        <w:gridCol w:w="4703"/>
      </w:tblGrid>
      <w:tr>
        <w:tc>
          <w:tcPr>
            <w:tcW w:type="dxa" w:w="4709"/>
            <w:shd w:val="clear" w:color="auto" w:fill="F8FAFC"/>
            <w:tcBorders>
              <w:top w:val="single" w:sz="12" w:space="0" w:color="1A1A1A"/>
              <w:right w:val="none" w:sz="0" w:space="0" w:color="auto"/>
              <w:bottom w:val="none" w:sz="0" w:space="0" w:color="auto"/>
              <w:left w:val="none" w:sz="0" w:space="0" w:color="auto"/>
            </w:tcBorders>
          </w:tcPr>
          <w:p>
            <w:pPr>
              <w:spacing w:before="160" w:after="80"/>
              <w:ind w:left="120" w:right="160"/>
            </w:pPr>
            <w:r>
              <w:rPr>
                <w:rFonts w:ascii="Calibri" w:hAnsi="Calibri"/>
                <w:b/>
                <w:i w:val="0"/>
                <w:color w:val="1A1A1A"/>
                <w:sz w:val="20"/>
              </w:rPr>
              <w:t>H2 Promo Calendar</w:t>
            </w:r>
          </w:p>
          <w:p>
            <w:pPr>
              <w:spacing w:before="0" w:after="160"/>
              <w:ind w:left="120" w:right="160"/>
            </w:pPr>
            <w:r>
              <w:rPr>
                <w:rFonts w:ascii="Calibri" w:hAnsi="Calibri"/>
                <w:b w:val="0"/>
                <w:i w:val="0"/>
                <w:color w:val="475569"/>
                <w:sz w:val="18"/>
              </w:rPr>
              <w:t>Forward-looking promo dates convert retroactive inference to predictive modeling. Estimated +3–5pp wMAPE improvement on high-velocity, trade-heavy SKUs — equivalent to $3–5M at $1M per 1pp. One spreadsheet share from your trade planning team.</w:t>
            </w:r>
          </w:p>
        </w:tc>
        <w:tc>
          <w:tcPr>
            <w:tcW w:type="dxa" w:w="4709"/>
            <w:shd w:val="clear" w:color="auto" w:fill="F8FAFC"/>
            <w:tcBorders>
              <w:top w:val="single" w:sz="12" w:space="0" w:color="1A1A1A"/>
              <w:right w:val="none" w:sz="0" w:space="0" w:color="auto"/>
              <w:bottom w:val="none" w:sz="0" w:space="0" w:color="auto"/>
              <w:left w:val="none" w:sz="0" w:space="0" w:color="auto"/>
            </w:tcBorders>
          </w:tcPr>
          <w:p>
            <w:pPr>
              <w:spacing w:before="160" w:after="80"/>
              <w:ind w:left="120" w:right="160"/>
            </w:pPr>
            <w:r>
              <w:rPr>
                <w:rFonts w:ascii="Calibri" w:hAnsi="Calibri"/>
                <w:b/>
                <w:i w:val="0"/>
                <w:color w:val="1A1A1A"/>
                <w:sz w:val="20"/>
              </w:rPr>
              <w:t>Your Team’s Forecast Accuracy Baseline</w:t>
            </w:r>
          </w:p>
          <w:p>
            <w:pPr>
              <w:spacing w:before="0" w:after="160"/>
              <w:ind w:left="120" w:right="160"/>
            </w:pPr>
            <w:r>
              <w:rPr>
                <w:rFonts w:ascii="Calibri" w:hAnsi="Calibri"/>
                <w:b w:val="0"/>
                <w:i w:val="0"/>
                <w:color w:val="475569"/>
                <w:sz w:val="18"/>
              </w:rPr>
              <w:t>Sharing actual weighted forecast error on 3–5 key SKU × retailer pairs replaces the abstract benchmark with BUILT’s own number. This anchors the ROI claim in your actuals, not an industry estimate.</w:t>
            </w:r>
          </w:p>
        </w:tc>
      </w:tr>
    </w:tbl>
    <w:p>
      <w:pPr>
        <w:spacing w:before="0" w:after="0"/>
      </w:pPr>
      <w:r>
        <w:rPr>
          <w:sz w:val="12"/>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4709"/>
            <w:shd w:val="clear" w:color="auto" w:fill="F8FAFC"/>
            <w:tcBorders>
              <w:top w:val="single" w:sz="12" w:space="0" w:color="1A1A1A"/>
              <w:right w:val="none" w:sz="0" w:space="0" w:color="auto"/>
              <w:bottom w:val="none" w:sz="0" w:space="0" w:color="auto"/>
              <w:left w:val="none" w:sz="0" w:space="0" w:color="auto"/>
            </w:tcBorders>
          </w:tcPr>
          <w:p>
            <w:pPr>
              <w:spacing w:before="160" w:after="80"/>
              <w:ind w:left="120" w:right="160"/>
            </w:pPr>
            <w:r>
              <w:rPr>
                <w:rFonts w:ascii="Calibri" w:hAnsi="Calibri"/>
                <w:b/>
                <w:i w:val="0"/>
                <w:color w:val="1A1A1A"/>
                <w:sz w:val="20"/>
              </w:rPr>
              <w:t>Planned Distribution Changes</w:t>
            </w:r>
          </w:p>
          <w:p>
            <w:pPr>
              <w:spacing w:before="0" w:after="160"/>
              <w:ind w:left="120" w:right="160"/>
            </w:pPr>
            <w:r>
              <w:rPr>
                <w:rFonts w:ascii="Calibri" w:hAnsi="Calibri"/>
                <w:b w:val="0"/>
                <w:i w:val="0"/>
                <w:color w:val="475569"/>
                <w:sz w:val="18"/>
              </w:rPr>
              <w:t>Shelf resets, new retailer launches, planogram expansions as forward-looking TDP signals. Knowing a Walmart reset in advance closes the 4–8 week SPINS reflection lag entirely.</w:t>
            </w:r>
          </w:p>
        </w:tc>
      </w:tr>
    </w:tbl>
    <w:p>
      <w:pPr>
        <w:spacing w:before="0" w:after="0"/>
      </w:pPr>
      <w:r>
        <w:rPr>
          <w:sz w:val="12"/>
        </w:rPr>
      </w:r>
    </w:p>
    <w:p>
      <w:pPr>
        <w:spacing w:before="0" w:after="0"/>
      </w:pPr>
      <w:r>
        <w:rPr>
          <w:sz w:val="16"/>
        </w:rPr>
      </w:r>
    </w:p>
    <w:p>
      <w:pPr>
        <w:spacing w:before="0" w:after="0"/>
      </w:pPr>
      <w:r>
        <w:rPr>
          <w:sz w:val="20"/>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03"/>
        <w:gridCol w:w="4703"/>
      </w:tblGrid>
      <w:tr>
        <w:tc>
          <w:tcPr>
            <w:tcW w:type="dxa" w:w="4703"/>
            <w:shd w:val="clear" w:color="auto" w:fill="0F172A"/>
            <w:tcBorders>
              <w:top w:val="single" w:sz="4" w:space="0" w:color="334155"/>
              <w:right w:val="none" w:sz="0" w:space="0" w:color="auto"/>
              <w:bottom w:val="none" w:sz="0" w:space="0" w:color="auto"/>
              <w:left w:val="none" w:sz="0" w:space="0" w:color="auto"/>
            </w:tcBorders>
          </w:tcPr>
          <w:p>
            <w:pPr>
              <w:spacing w:before="240" w:after="120"/>
              <w:ind w:left="200"/>
            </w:pPr>
            <w:r>
              <w:rPr>
                <w:rFonts w:ascii="Calibri" w:hAnsi="Calibri"/>
                <w:b/>
                <w:i w:val="0"/>
                <w:color w:val="FFFFFF"/>
                <w:sz w:val="20"/>
              </w:rPr>
              <w:t>So What — Results Achieved</w:t>
            </w:r>
          </w:p>
          <w:p>
            <w:pPr>
              <w:spacing w:before="40" w:after="40"/>
              <w:ind w:left="280"/>
            </w:pPr>
            <w:r>
              <w:rPr>
                <w:rFonts w:ascii="Calibri" w:hAnsi="Calibri"/>
                <w:b w:val="0"/>
                <w:i w:val="0"/>
                <w:color w:val="FFFFFF"/>
                <w:sz w:val="18"/>
              </w:rPr>
              <w:t>•  4.4% wMAPE at SKU×retailer level in Q1 2026 — tighter than BUILT’s corporate total, at a harder granularity</w:t>
            </w:r>
          </w:p>
          <w:p>
            <w:pPr>
              <w:spacing w:before="40" w:after="40"/>
              <w:ind w:left="280"/>
            </w:pPr>
            <w:r>
              <w:rPr>
                <w:rFonts w:ascii="Calibri" w:hAnsi="Calibri"/>
                <w:b w:val="0"/>
                <w:i w:val="0"/>
                <w:color w:val="FFFFFF"/>
                <w:sz w:val="18"/>
              </w:rPr>
              <w:t>•  Per-retailer price elasticity confirmed on real events: Kroger BB4pk +28.6% total lift, +4.7% price-only</w:t>
            </w:r>
          </w:p>
          <w:p>
            <w:pPr>
              <w:spacing w:before="40" w:after="40"/>
              <w:ind w:left="280"/>
            </w:pPr>
            <w:r>
              <w:rPr>
                <w:rFonts w:ascii="Calibri" w:hAnsi="Calibri"/>
                <w:b w:val="0"/>
                <w:i w:val="0"/>
                <w:color w:val="FFFFFF"/>
                <w:sz w:val="18"/>
              </w:rPr>
              <w:t>•  Cannibalization pressure tracked 8-week rolling across full BUILT portfolio</w:t>
            </w:r>
          </w:p>
          <w:p>
            <w:pPr>
              <w:spacing w:before="40" w:after="40"/>
              <w:ind w:left="280"/>
            </w:pPr>
            <w:r>
              <w:rPr>
                <w:rFonts w:ascii="Calibri" w:hAnsi="Calibri"/>
                <w:b w:val="0"/>
                <w:i w:val="0"/>
                <w:color w:val="FFFFFF"/>
                <w:sz w:val="18"/>
              </w:rPr>
              <w:t>•  Growth decomposed: distribution-led vs. velocity-led vs. promo-led — visible every week</w:t>
            </w:r>
          </w:p>
          <w:p>
            <w:pPr>
              <w:spacing w:before="40" w:after="40"/>
              <w:ind w:left="280"/>
            </w:pPr>
            <w:r>
              <w:rPr>
                <w:rFonts w:ascii="Calibri" w:hAnsi="Calibri"/>
                <w:b w:val="0"/>
                <w:i w:val="0"/>
                <w:color w:val="FFFFFF"/>
                <w:sz w:val="18"/>
              </w:rPr>
              <w:t>•  Every number has a ranked business driver explanation and a data lineage your team can audit</w:t>
            </w:r>
          </w:p>
          <w:p>
            <w:pPr>
              <w:spacing w:before="0" w:after="200"/>
            </w:pPr>
          </w:p>
        </w:tc>
        <w:tc>
          <w:tcPr>
            <w:tcW w:type="dxa" w:w="4703"/>
            <w:shd w:val="clear" w:color="auto" w:fill="0F172A"/>
            <w:tcBorders>
              <w:top w:val="single" w:sz="4" w:space="0" w:color="334155"/>
              <w:right w:val="none" w:sz="0" w:space="0" w:color="auto"/>
              <w:bottom w:val="none" w:sz="0" w:space="0" w:color="auto"/>
              <w:left w:val="none" w:sz="0" w:space="0" w:color="auto"/>
            </w:tcBorders>
          </w:tcPr>
          <w:p>
            <w:pPr>
              <w:spacing w:before="240" w:after="120"/>
              <w:ind w:left="200"/>
            </w:pPr>
            <w:r>
              <w:rPr>
                <w:rFonts w:ascii="Calibri" w:hAnsi="Calibri"/>
                <w:b/>
                <w:i w:val="0"/>
                <w:color w:val="FFFFFF"/>
                <w:sz w:val="20"/>
              </w:rPr>
              <w:t>Now What — The Next Steps</w:t>
            </w:r>
          </w:p>
          <w:p>
            <w:pPr>
              <w:spacing w:before="40" w:after="40"/>
              <w:ind w:left="280"/>
            </w:pPr>
            <w:r>
              <w:rPr>
                <w:rFonts w:ascii="Calibri" w:hAnsi="Calibri"/>
                <w:b w:val="0"/>
                <w:i w:val="0"/>
                <w:color w:val="FFFFFF"/>
                <w:sz w:val="18"/>
              </w:rPr>
              <w:t>•  Share BUILT’s current forecast accuracy — makes the ROI comparison your own number, not an abstract benchmark</w:t>
            </w:r>
          </w:p>
          <w:p>
            <w:pPr>
              <w:spacing w:before="40" w:after="40"/>
              <w:ind w:left="280"/>
            </w:pPr>
            <w:r>
              <w:rPr>
                <w:rFonts w:ascii="Calibri" w:hAnsi="Calibri"/>
                <w:b w:val="0"/>
                <w:i w:val="0"/>
                <w:color w:val="FFFFFF"/>
                <w:sz w:val="18"/>
              </w:rPr>
              <w:t>•  Share the H2 promotional calendar — single highest-value input; estimated $3–5M accuracy gain</w:t>
            </w:r>
          </w:p>
          <w:p>
            <w:pPr>
              <w:spacing w:before="40" w:after="40"/>
              <w:ind w:left="280"/>
            </w:pPr>
            <w:r>
              <w:rPr>
                <w:rFonts w:ascii="Calibri" w:hAnsi="Calibri"/>
                <w:b w:val="0"/>
                <w:i w:val="0"/>
                <w:color w:val="FFFFFF"/>
                <w:sz w:val="18"/>
              </w:rPr>
              <w:t>•  90-day parallel run: every 4-week retrain generates an updated accuracy comparison vs. actuals</w:t>
            </w:r>
          </w:p>
          <w:p>
            <w:pPr>
              <w:spacing w:before="40" w:after="40"/>
              <w:ind w:left="280"/>
            </w:pPr>
            <w:r>
              <w:rPr>
                <w:rFonts w:ascii="Calibri" w:hAnsi="Calibri"/>
                <w:b w:val="0"/>
                <w:i w:val="0"/>
                <w:color w:val="FFFFFF"/>
                <w:sz w:val="18"/>
              </w:rPr>
              <w:t>•  By end of 90 days, the accuracy story belongs to BUILT — proven on your own data, your own SKUs, your own retailers</w:t>
            </w:r>
          </w:p>
          <w:p>
            <w:pPr>
              <w:spacing w:before="0" w:after="200"/>
            </w:pPr>
          </w:p>
        </w:tc>
      </w:tr>
    </w:tbl>
    <w:p>
      <w:pPr>
        <w:spacing w:before="0" w:after="0"/>
      </w:pPr>
      <w:r>
        <w:rPr>
          <w:sz w:val="24"/>
        </w:rPr>
      </w:r>
    </w:p>
    <w:p>
      <w:pPr>
        <w:spacing w:before="320" w:after="0"/>
        <w:pBdr>
          <w:bottom w:val="single" w:sz="4" w:space="4" w:color="CBD5E1"/>
        </w:pBdr>
      </w:pPr>
      <w:r>
        <w:rPr>
          <w:rFonts w:ascii="Calibri" w:hAnsi="Calibri"/>
          <w:b w:val="0"/>
          <w:i w:val="0"/>
          <w:color w:val="94A3B8"/>
          <w:sz w:val="16"/>
        </w:rPr>
        <w:t>Aevah Mo Demand Intelligence  ·  Powered by SPINS POS Data  ·  ML pipeline: MO_16–MO_49  ·  Generated July 17, 2026  ·  Confidential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