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7C99" w14:textId="2BEF133A" w:rsidR="001600F7" w:rsidRPr="00FB6A8D" w:rsidRDefault="001600F7" w:rsidP="001600F7">
      <w:r w:rsidRPr="00FB6A8D">
        <w:t xml:space="preserve">Wrocław, </w:t>
      </w:r>
      <w:r w:rsidR="00BE4DC3" w:rsidRPr="00FB6A8D">
        <w:t>06</w:t>
      </w:r>
      <w:r w:rsidRPr="00FB6A8D">
        <w:t>.0</w:t>
      </w:r>
      <w:r w:rsidR="00BE4DC3" w:rsidRPr="00FB6A8D">
        <w:t>6</w:t>
      </w:r>
      <w:r w:rsidRPr="00FB6A8D">
        <w:t>.2025</w:t>
      </w:r>
    </w:p>
    <w:p w14:paraId="155BEACD" w14:textId="77777777" w:rsidR="001600F7" w:rsidRPr="00FB6A8D" w:rsidRDefault="001600F7" w:rsidP="001600F7">
      <w:pPr>
        <w:jc w:val="right"/>
      </w:pPr>
    </w:p>
    <w:p w14:paraId="024B7F90" w14:textId="77777777" w:rsidR="001600F7" w:rsidRPr="00FB6A8D" w:rsidRDefault="001600F7" w:rsidP="001600F7">
      <w:pPr>
        <w:jc w:val="right"/>
      </w:pPr>
    </w:p>
    <w:p w14:paraId="2569568F" w14:textId="77777777" w:rsidR="001600F7" w:rsidRPr="00FB6A8D" w:rsidRDefault="001600F7" w:rsidP="001600F7">
      <w:pPr>
        <w:jc w:val="right"/>
      </w:pPr>
    </w:p>
    <w:p w14:paraId="552A7BF9" w14:textId="77777777" w:rsidR="001600F7" w:rsidRPr="00FB6A8D" w:rsidRDefault="001600F7" w:rsidP="001600F7">
      <w:pPr>
        <w:jc w:val="right"/>
      </w:pPr>
    </w:p>
    <w:p w14:paraId="59E2F000" w14:textId="77777777" w:rsidR="001600F7" w:rsidRPr="00FB6A8D" w:rsidRDefault="001600F7" w:rsidP="001600F7">
      <w:pPr>
        <w:jc w:val="right"/>
      </w:pPr>
    </w:p>
    <w:p w14:paraId="721E0318" w14:textId="77777777" w:rsidR="001600F7" w:rsidRPr="00FB6A8D" w:rsidRDefault="001600F7" w:rsidP="001600F7">
      <w:pPr>
        <w:jc w:val="right"/>
      </w:pPr>
    </w:p>
    <w:p w14:paraId="04699A6C" w14:textId="77777777" w:rsidR="001600F7" w:rsidRPr="00FB6A8D" w:rsidRDefault="001600F7" w:rsidP="001600F7">
      <w:pPr>
        <w:jc w:val="right"/>
      </w:pPr>
    </w:p>
    <w:p w14:paraId="6255C785" w14:textId="77777777" w:rsidR="001600F7" w:rsidRPr="00FB6A8D" w:rsidRDefault="001600F7" w:rsidP="001600F7">
      <w:pPr>
        <w:jc w:val="right"/>
      </w:pPr>
    </w:p>
    <w:p w14:paraId="0FD4328E" w14:textId="77777777" w:rsidR="001600F7" w:rsidRPr="00FB6A8D" w:rsidRDefault="001600F7" w:rsidP="001600F7">
      <w:pPr>
        <w:jc w:val="right"/>
      </w:pPr>
    </w:p>
    <w:p w14:paraId="5AA42104" w14:textId="77777777" w:rsidR="001600F7" w:rsidRPr="00FB6A8D" w:rsidRDefault="001600F7" w:rsidP="001600F7">
      <w:pPr>
        <w:jc w:val="right"/>
      </w:pPr>
    </w:p>
    <w:p w14:paraId="65936F77" w14:textId="77777777" w:rsidR="001600F7" w:rsidRPr="00FB6A8D" w:rsidRDefault="001600F7" w:rsidP="001600F7">
      <w:pPr>
        <w:jc w:val="right"/>
      </w:pPr>
    </w:p>
    <w:p w14:paraId="64282057" w14:textId="77777777" w:rsidR="001600F7" w:rsidRPr="00FB6A8D" w:rsidRDefault="001600F7" w:rsidP="001600F7">
      <w:pPr>
        <w:pStyle w:val="Title"/>
        <w:jc w:val="center"/>
        <w:rPr>
          <w:rFonts w:asciiTheme="minorHAnsi" w:hAnsiTheme="minorHAnsi"/>
        </w:rPr>
      </w:pPr>
      <w:r w:rsidRPr="00FB6A8D">
        <w:rPr>
          <w:rFonts w:asciiTheme="minorHAnsi" w:hAnsiTheme="minorHAnsi"/>
        </w:rPr>
        <w:t>Sztuczna inteligencja i inżynieria wiedzy</w:t>
      </w:r>
    </w:p>
    <w:p w14:paraId="726D89F6" w14:textId="572867AB" w:rsidR="001600F7" w:rsidRPr="00FB6A8D" w:rsidRDefault="001600F7" w:rsidP="001600F7">
      <w:pPr>
        <w:pStyle w:val="Heading1"/>
        <w:jc w:val="center"/>
        <w:rPr>
          <w:rFonts w:asciiTheme="minorHAnsi" w:hAnsiTheme="minorHAnsi"/>
          <w:sz w:val="48"/>
          <w:szCs w:val="48"/>
        </w:rPr>
      </w:pPr>
      <w:r w:rsidRPr="00FB6A8D">
        <w:rPr>
          <w:rFonts w:asciiTheme="minorHAnsi" w:hAnsiTheme="minorHAnsi"/>
          <w:sz w:val="48"/>
          <w:szCs w:val="48"/>
        </w:rPr>
        <w:t xml:space="preserve">Lista </w:t>
      </w:r>
      <w:r w:rsidR="007E0FAB" w:rsidRPr="00FB6A8D">
        <w:rPr>
          <w:rFonts w:asciiTheme="minorHAnsi" w:hAnsiTheme="minorHAnsi"/>
          <w:sz w:val="48"/>
          <w:szCs w:val="48"/>
        </w:rPr>
        <w:t>4</w:t>
      </w:r>
    </w:p>
    <w:p w14:paraId="6F5292D5" w14:textId="7F777D7B" w:rsidR="001600F7" w:rsidRPr="00FB6A8D" w:rsidRDefault="007E0FAB" w:rsidP="001600F7">
      <w:pPr>
        <w:jc w:val="center"/>
      </w:pPr>
      <w:r w:rsidRPr="00FB6A8D">
        <w:rPr>
          <w:rFonts w:eastAsiaTheme="majorEastAsia" w:cstheme="majorBidi"/>
          <w:color w:val="0F4761" w:themeColor="accent1" w:themeShade="BF"/>
          <w:sz w:val="32"/>
          <w:szCs w:val="32"/>
        </w:rPr>
        <w:t>ALGORYTMY UCZENIA MASZYNOWEGO</w:t>
      </w:r>
    </w:p>
    <w:p w14:paraId="4DD7E7F2" w14:textId="77777777" w:rsidR="001600F7" w:rsidRPr="00FB6A8D" w:rsidRDefault="001600F7" w:rsidP="001600F7"/>
    <w:p w14:paraId="6EE9FE69" w14:textId="77777777" w:rsidR="001600F7" w:rsidRPr="00FB6A8D" w:rsidRDefault="001600F7" w:rsidP="001600F7"/>
    <w:p w14:paraId="21D1F7A2" w14:textId="77777777" w:rsidR="001600F7" w:rsidRPr="00FB6A8D" w:rsidRDefault="001600F7" w:rsidP="001600F7"/>
    <w:p w14:paraId="0F15D480" w14:textId="77777777" w:rsidR="001600F7" w:rsidRPr="00FB6A8D" w:rsidRDefault="001600F7" w:rsidP="001600F7"/>
    <w:p w14:paraId="5385F363" w14:textId="77777777" w:rsidR="001600F7" w:rsidRPr="00FB6A8D" w:rsidRDefault="001600F7" w:rsidP="001600F7"/>
    <w:p w14:paraId="54D70258" w14:textId="77777777" w:rsidR="001600F7" w:rsidRPr="00FB6A8D" w:rsidRDefault="001600F7" w:rsidP="001600F7"/>
    <w:p w14:paraId="5781BA97" w14:textId="77777777" w:rsidR="001600F7" w:rsidRPr="00FB6A8D" w:rsidRDefault="001600F7" w:rsidP="001600F7"/>
    <w:p w14:paraId="26E01DC8" w14:textId="77777777" w:rsidR="001600F7" w:rsidRPr="00FB6A8D" w:rsidRDefault="001600F7" w:rsidP="001600F7"/>
    <w:p w14:paraId="7EE33CD9" w14:textId="77777777" w:rsidR="001600F7" w:rsidRPr="00FB6A8D" w:rsidRDefault="001600F7" w:rsidP="001600F7"/>
    <w:p w14:paraId="6EA23DB3" w14:textId="77777777" w:rsidR="001600F7" w:rsidRPr="00FB6A8D" w:rsidRDefault="001600F7" w:rsidP="001600F7"/>
    <w:p w14:paraId="719260B5" w14:textId="77777777" w:rsidR="001600F7" w:rsidRPr="00FB6A8D" w:rsidRDefault="001600F7" w:rsidP="001600F7"/>
    <w:p w14:paraId="30A8BE63" w14:textId="78FFE086" w:rsidR="007E0FAB" w:rsidRPr="00FB6A8D" w:rsidRDefault="001600F7" w:rsidP="007E0FAB">
      <w:pPr>
        <w:jc w:val="center"/>
      </w:pPr>
      <w:r w:rsidRPr="00FB6A8D">
        <w:t>Kacper Tomczyk 272650</w:t>
      </w:r>
    </w:p>
    <w:p w14:paraId="35852533" w14:textId="21329ED5" w:rsidR="000A2E1A" w:rsidRPr="00FB6A8D" w:rsidRDefault="000A2E1A" w:rsidP="007555F9">
      <w:pPr>
        <w:pStyle w:val="Heading1"/>
        <w:jc w:val="center"/>
      </w:pPr>
      <w:r w:rsidRPr="00FB6A8D">
        <w:lastRenderedPageBreak/>
        <w:t>Wstępna analiza zbioru danych</w:t>
      </w:r>
    </w:p>
    <w:p w14:paraId="0F7FD973" w14:textId="77777777" w:rsidR="00D96716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Pierwszym krokiem analizy zbioru danych było jego wczytanie i przygotowanie do dalszych etapów przetwarzania. </w:t>
      </w:r>
      <w:r w:rsidR="00D96716" w:rsidRPr="00FB6A8D">
        <w:rPr>
          <w:sz w:val="24"/>
          <w:szCs w:val="24"/>
        </w:rPr>
        <w:t xml:space="preserve">Zadanie to wykonano za pomocą skryptu w języku </w:t>
      </w:r>
      <w:r w:rsidR="00D96716" w:rsidRPr="00FB6A8D">
        <w:rPr>
          <w:b/>
          <w:bCs/>
          <w:sz w:val="24"/>
          <w:szCs w:val="24"/>
        </w:rPr>
        <w:t>python</w:t>
      </w:r>
      <w:r w:rsidR="00D96716" w:rsidRPr="00FB6A8D">
        <w:rPr>
          <w:sz w:val="24"/>
          <w:szCs w:val="24"/>
        </w:rPr>
        <w:t xml:space="preserve">, przy wykorzystaniu biblioteki </w:t>
      </w:r>
      <w:proofErr w:type="spellStart"/>
      <w:r w:rsidR="00D96716" w:rsidRPr="00FB6A8D">
        <w:rPr>
          <w:rFonts w:ascii="Consolas" w:hAnsi="Consolas"/>
          <w:b/>
          <w:bCs/>
        </w:rPr>
        <w:t>pandas</w:t>
      </w:r>
      <w:proofErr w:type="spellEnd"/>
      <w:r w:rsidR="00D96716" w:rsidRPr="00FB6A8D">
        <w:rPr>
          <w:sz w:val="24"/>
          <w:szCs w:val="24"/>
        </w:rPr>
        <w:t xml:space="preserve">. </w:t>
      </w:r>
    </w:p>
    <w:p w14:paraId="7A49F3CE" w14:textId="06166647" w:rsidR="007555F9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Dane pochodzą z badań kardiotokograficznych płodów i zawierają 2126 rekordów opisanych 21 cechami diagnostycznymi oraz jedną kolumną klasową (CLASS), która reprezentuje typ wzorca morfologicznego płodu. Już na etapie wstępnej analizy wykryto obecność brakujących wartości w większości kolumn – od kilku do ponad 130 braków w poszczególnych cechach. Najwięcej braków dotyczyło kolumn takich jak „Min”, „DS” czy „UC”, co może wskazywać na problemy z rejestracją lub ekstrakcją niektórych parametrów diagnostycznych</w:t>
      </w:r>
      <w:r w:rsidR="00CB2581" w:rsidRPr="00FB6A8D">
        <w:rPr>
          <w:sz w:val="24"/>
          <w:szCs w:val="24"/>
        </w:rPr>
        <w:t>:</w:t>
      </w:r>
    </w:p>
    <w:p w14:paraId="4E1E4FC3" w14:textId="193172A1" w:rsidR="00E91E7B" w:rsidRPr="00FB6A8D" w:rsidRDefault="00E91E7B" w:rsidP="00E91E7B">
      <w:pPr>
        <w:pStyle w:val="Caption"/>
        <w:keepNext/>
        <w:jc w:val="center"/>
      </w:pPr>
      <w:r w:rsidRPr="00FB6A8D"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="00E8552B" w:rsidRPr="00FB6A8D">
        <w:t>1</w:t>
      </w:r>
      <w:r w:rsidRPr="00FB6A8D">
        <w:fldChar w:fldCharType="end"/>
      </w:r>
      <w:r w:rsidRPr="00FB6A8D">
        <w:t xml:space="preserve"> – Liczba brakujących wartości dla poszczególnych kolumn</w:t>
      </w:r>
    </w:p>
    <w:tbl>
      <w:tblPr>
        <w:tblW w:w="1939" w:type="dxa"/>
        <w:jc w:val="center"/>
        <w:tblLook w:val="04A0" w:firstRow="1" w:lastRow="0" w:firstColumn="1" w:lastColumn="0" w:noHBand="0" w:noVBand="1"/>
      </w:tblPr>
      <w:tblGrid>
        <w:gridCol w:w="1059"/>
        <w:gridCol w:w="880"/>
      </w:tblGrid>
      <w:tr w:rsidR="00F55986" w:rsidRPr="00FB6A8D" w14:paraId="4880207D" w14:textId="77777777" w:rsidTr="00E91E7B">
        <w:trPr>
          <w:trHeight w:val="315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1A8F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Kolumna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ADF4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Brakuje</w:t>
            </w:r>
          </w:p>
        </w:tc>
      </w:tr>
      <w:tr w:rsidR="00F55986" w:rsidRPr="00FB6A8D" w14:paraId="53915676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33BF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2C83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</w:t>
            </w:r>
          </w:p>
        </w:tc>
      </w:tr>
      <w:tr w:rsidR="00F55986" w:rsidRPr="00FB6A8D" w14:paraId="09D2A789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18A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85A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113</w:t>
            </w:r>
          </w:p>
        </w:tc>
      </w:tr>
      <w:tr w:rsidR="00F55986" w:rsidRPr="00FB6A8D" w14:paraId="2E8CCE2E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E724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4F02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</w:t>
            </w:r>
          </w:p>
        </w:tc>
      </w:tr>
      <w:tr w:rsidR="00F55986" w:rsidRPr="00FB6A8D" w14:paraId="721A24AF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7501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8D58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</w:t>
            </w:r>
          </w:p>
        </w:tc>
      </w:tr>
      <w:tr w:rsidR="00F55986" w:rsidRPr="00FB6A8D" w14:paraId="2BA95035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44DC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5C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F55986" w:rsidRPr="00FB6A8D" w14:paraId="0CED5093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D03B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2C24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132</w:t>
            </w:r>
          </w:p>
        </w:tc>
      </w:tr>
      <w:tr w:rsidR="00F55986" w:rsidRPr="00FB6A8D" w14:paraId="39AE84CA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D5AC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8CA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</w:t>
            </w:r>
          </w:p>
        </w:tc>
      </w:tr>
      <w:tr w:rsidR="00F55986" w:rsidRPr="00FB6A8D" w14:paraId="0160A5E9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1731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ASTV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9C85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111</w:t>
            </w:r>
          </w:p>
        </w:tc>
      </w:tr>
      <w:tr w:rsidR="00F55986" w:rsidRPr="00FB6A8D" w14:paraId="50FD3C72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9E67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MSTV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CF8E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</w:t>
            </w:r>
          </w:p>
        </w:tc>
      </w:tr>
      <w:tr w:rsidR="00F55986" w:rsidRPr="00FB6A8D" w14:paraId="6787C8D7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D4A8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F272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</w:t>
            </w:r>
          </w:p>
        </w:tc>
      </w:tr>
      <w:tr w:rsidR="00F55986" w:rsidRPr="00FB6A8D" w14:paraId="47D9A577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E09B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MLTV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87DA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</w:t>
            </w:r>
          </w:p>
        </w:tc>
      </w:tr>
      <w:tr w:rsidR="00F55986" w:rsidRPr="00FB6A8D" w14:paraId="76E717A8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9608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Width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758B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</w:t>
            </w:r>
          </w:p>
        </w:tc>
      </w:tr>
      <w:tr w:rsidR="00F55986" w:rsidRPr="00FB6A8D" w14:paraId="3F6117F3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70C9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8019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126</w:t>
            </w:r>
          </w:p>
        </w:tc>
      </w:tr>
      <w:tr w:rsidR="00F55986" w:rsidRPr="00FB6A8D" w14:paraId="5E2F0592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8917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997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</w:t>
            </w:r>
          </w:p>
        </w:tc>
      </w:tr>
      <w:tr w:rsidR="00F55986" w:rsidRPr="00FB6A8D" w14:paraId="031C754A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AB93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Nmax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F1B6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</w:t>
            </w:r>
          </w:p>
        </w:tc>
      </w:tr>
      <w:tr w:rsidR="00F55986" w:rsidRPr="00FB6A8D" w14:paraId="444E54CF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44C3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Nzeros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E57A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</w:t>
            </w:r>
          </w:p>
        </w:tc>
      </w:tr>
      <w:tr w:rsidR="00F55986" w:rsidRPr="00FB6A8D" w14:paraId="1C06C7DD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5ABA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36AA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</w:t>
            </w:r>
          </w:p>
        </w:tc>
      </w:tr>
      <w:tr w:rsidR="00F55986" w:rsidRPr="00FB6A8D" w14:paraId="6F1FFAA5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344A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Mean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CDE7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</w:t>
            </w:r>
          </w:p>
        </w:tc>
      </w:tr>
      <w:tr w:rsidR="00F55986" w:rsidRPr="00FB6A8D" w14:paraId="312999E6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8314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68E9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101</w:t>
            </w:r>
          </w:p>
        </w:tc>
      </w:tr>
      <w:tr w:rsidR="00F55986" w:rsidRPr="00FB6A8D" w14:paraId="06DAC21A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CBB9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Variance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067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</w:t>
            </w:r>
          </w:p>
        </w:tc>
      </w:tr>
      <w:tr w:rsidR="00F55986" w:rsidRPr="00FB6A8D" w14:paraId="1607CBB6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1B77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Tendency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6AAB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</w:t>
            </w:r>
          </w:p>
        </w:tc>
      </w:tr>
      <w:tr w:rsidR="00F55986" w:rsidRPr="00FB6A8D" w14:paraId="68F594D2" w14:textId="77777777" w:rsidTr="00E91E7B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B153" w14:textId="77777777" w:rsidR="00F55986" w:rsidRPr="00FB6A8D" w:rsidRDefault="00F55986" w:rsidP="00F559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9D6F" w14:textId="77777777" w:rsidR="00F55986" w:rsidRPr="00FB6A8D" w:rsidRDefault="00F55986" w:rsidP="00F559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36E649A" w14:textId="09C4BE94" w:rsidR="00CB2581" w:rsidRPr="00FB6A8D" w:rsidRDefault="00CB2581" w:rsidP="00D96716">
      <w:pPr>
        <w:jc w:val="both"/>
      </w:pPr>
    </w:p>
    <w:p w14:paraId="021B2E0F" w14:textId="6B88ADEE" w:rsidR="007555F9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W kolejnej fazie analizy wyznaczono podstawowe statystyki opisowe dla każdej kolumny. Na ich podstawie można zauważyć duże zróżnicowanie zakresów wartości cech – np. wartość cechy „FM” (liczba ruchów płodu na sekundę) sięga maksymalnie 0.481, podczas gdy „Width” (szerokość histogramu FHR) osiąga wartość nawet 180. Również rozstęp między </w:t>
      </w:r>
      <w:r w:rsidR="00825A71" w:rsidRPr="00FB6A8D">
        <w:rPr>
          <w:sz w:val="24"/>
          <w:szCs w:val="24"/>
        </w:rPr>
        <w:t>percentylami</w:t>
      </w:r>
      <w:r w:rsidRPr="00FB6A8D">
        <w:rPr>
          <w:sz w:val="24"/>
          <w:szCs w:val="24"/>
        </w:rPr>
        <w:t xml:space="preserve"> oraz wysokie odchylenia standardowe w kolumnach takich </w:t>
      </w:r>
      <w:r w:rsidRPr="00FB6A8D">
        <w:rPr>
          <w:sz w:val="24"/>
          <w:szCs w:val="24"/>
        </w:rPr>
        <w:lastRenderedPageBreak/>
        <w:t>jak „ALTV” i „</w:t>
      </w:r>
      <w:proofErr w:type="spellStart"/>
      <w:r w:rsidRPr="00FB6A8D">
        <w:rPr>
          <w:sz w:val="24"/>
          <w:szCs w:val="24"/>
        </w:rPr>
        <w:t>Variance</w:t>
      </w:r>
      <w:proofErr w:type="spellEnd"/>
      <w:r w:rsidRPr="00FB6A8D">
        <w:rPr>
          <w:sz w:val="24"/>
          <w:szCs w:val="24"/>
        </w:rPr>
        <w:t>” świadczą o znacznej zmienności tych parametrów. Z kolei niektóre cechy jak „DS” (liczba silnych deceleracji) czy „DP” wykazują praktycznie zerową średnią i minimalną wariancję, co może sugerować ich ograniczoną użyteczność w klasyfikacji</w:t>
      </w:r>
      <w:r w:rsidR="007A35B0" w:rsidRPr="00FB6A8D">
        <w:rPr>
          <w:sz w:val="24"/>
          <w:szCs w:val="24"/>
        </w:rPr>
        <w:t>:</w:t>
      </w:r>
    </w:p>
    <w:p w14:paraId="1A05B597" w14:textId="62AECC56" w:rsidR="007463DB" w:rsidRPr="00FB6A8D" w:rsidRDefault="007463DB" w:rsidP="007463DB">
      <w:pPr>
        <w:pStyle w:val="Caption"/>
        <w:keepNext/>
        <w:jc w:val="center"/>
      </w:pPr>
      <w:r w:rsidRPr="00FB6A8D"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="00E8552B" w:rsidRPr="00FB6A8D">
        <w:t>2</w:t>
      </w:r>
      <w:r w:rsidRPr="00FB6A8D">
        <w:fldChar w:fldCharType="end"/>
      </w:r>
      <w:r w:rsidRPr="00FB6A8D">
        <w:t xml:space="preserve"> – Statystyki dla poszczególnych kolumn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59"/>
        <w:gridCol w:w="1006"/>
        <w:gridCol w:w="943"/>
        <w:gridCol w:w="1037"/>
        <w:gridCol w:w="943"/>
        <w:gridCol w:w="943"/>
        <w:gridCol w:w="943"/>
        <w:gridCol w:w="1311"/>
        <w:gridCol w:w="1170"/>
      </w:tblGrid>
      <w:tr w:rsidR="007A35B0" w:rsidRPr="00FB6A8D" w14:paraId="437CD8E1" w14:textId="77777777" w:rsidTr="007463DB">
        <w:trPr>
          <w:trHeight w:val="315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A729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Kolumna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BB0C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Liczność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653E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Średnia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E9F8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Odch</w:t>
            </w:r>
            <w:proofErr w:type="spellEnd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st.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9EE4" w14:textId="71F430B1" w:rsidR="007A35B0" w:rsidRPr="00FB6A8D" w:rsidRDefault="007463DB" w:rsidP="007463D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7BD4" w14:textId="62CFA743" w:rsidR="007A35B0" w:rsidRPr="00FB6A8D" w:rsidRDefault="007463DB" w:rsidP="007463D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62E" w14:textId="671AE41B" w:rsidR="007A35B0" w:rsidRPr="00FB6A8D" w:rsidRDefault="007463DB" w:rsidP="007463D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4518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Wart. Maks.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A760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Wart. Min.</w:t>
            </w:r>
          </w:p>
        </w:tc>
      </w:tr>
      <w:tr w:rsidR="007A35B0" w:rsidRPr="00FB6A8D" w14:paraId="2EC232AE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02C3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B03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B20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133.276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890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9.811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1DF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126.000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BA8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E9A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2A8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FAE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106.000</w:t>
            </w:r>
          </w:p>
        </w:tc>
      </w:tr>
      <w:tr w:rsidR="007A35B0" w:rsidRPr="00FB6A8D" w14:paraId="7F15B253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10FA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49D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BE0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564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A05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FCD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E35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A0A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2600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6028E236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2AB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F88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1700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518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0.045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DC6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F08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0D3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9F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BF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44E47F95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11E7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UC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8E0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7F5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CE5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15F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F64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C3F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507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C37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78D424AB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438F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DL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2E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D2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C2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9A1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425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14D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708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429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209AC9B2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AC74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D38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BA5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679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A02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275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751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0BE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BC9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2CAD002A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6729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DP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844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B54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AAA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7DF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61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242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7F3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CCB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2BBACAA3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1EE2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ASTV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6C7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D9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47.043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7C4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17.212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D37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F7E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AD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DED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BB6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12.000</w:t>
            </w:r>
          </w:p>
        </w:tc>
      </w:tr>
      <w:tr w:rsidR="007A35B0" w:rsidRPr="00FB6A8D" w14:paraId="6936CFBA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AADA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MSTV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4CA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8C3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1.331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FDD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0.883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05D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6E9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1.200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3E8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6B3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741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0.200</w:t>
            </w:r>
          </w:p>
        </w:tc>
      </w:tr>
      <w:tr w:rsidR="007A35B0" w:rsidRPr="00FB6A8D" w14:paraId="48E31040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FAF1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ALTV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F0B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2030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F1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9.860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A8F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18.418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C50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A20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0C7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041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2F3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5AE9A9A5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3FF7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MLTV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C2F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6E9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8.209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C60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5.612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14F0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2FB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D12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7B7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A500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5CDE8C4C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511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Width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4D1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5FF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70.796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B8C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39.056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DA7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02D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ED1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101.000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153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310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3.000</w:t>
            </w:r>
          </w:p>
        </w:tc>
      </w:tr>
      <w:tr w:rsidR="007A35B0" w:rsidRPr="00FB6A8D" w14:paraId="42B36CD0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1E0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384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478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93.412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4F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29.554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9CE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2BF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93.000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A6D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F5C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159.000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6FD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50.000</w:t>
            </w:r>
          </w:p>
        </w:tc>
      </w:tr>
      <w:tr w:rsidR="007A35B0" w:rsidRPr="00FB6A8D" w14:paraId="174953F2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C01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76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2038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9C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164.065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2BD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18.013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45D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5E6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0F3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174.000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E7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238.000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59D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122.000</w:t>
            </w:r>
          </w:p>
        </w:tc>
      </w:tr>
      <w:tr w:rsidR="007A35B0" w:rsidRPr="00FB6A8D" w14:paraId="1829F086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2A86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Nmax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F0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3FA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4.091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B46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2.955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A41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DE6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90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F52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AC9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01ECBEBA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00DA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Nzeros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93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E79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ABE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962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634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5F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5A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065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7E7B3134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A2DC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C21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D9F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137.353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1BB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16.432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4745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E01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54E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148.000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289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187.000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2BE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60.000</w:t>
            </w:r>
          </w:p>
        </w:tc>
      </w:tr>
      <w:tr w:rsidR="007A35B0" w:rsidRPr="00FB6A8D" w14:paraId="6E667750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947F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Mean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A8A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B4D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134.617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543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15.608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10C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AF1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136.000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9E2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145.000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431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182.000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AC2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73.000</w:t>
            </w:r>
          </w:p>
        </w:tc>
      </w:tr>
      <w:tr w:rsidR="007A35B0" w:rsidRPr="00FB6A8D" w14:paraId="17AC4953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3C29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D3B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08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138.221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093C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14.394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137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BAA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E93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148.000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EA0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186.000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A1C2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77.000</w:t>
            </w:r>
          </w:p>
        </w:tc>
      </w:tr>
      <w:tr w:rsidR="007A35B0" w:rsidRPr="00FB6A8D" w14:paraId="1E695E3F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B152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Variance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6B2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CB9B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19.130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65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29.320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37D0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091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B216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E437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269.000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CCF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7A35B0" w:rsidRPr="00FB6A8D" w14:paraId="0BE47FFE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53CE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Tendancy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D32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B71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D0F8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701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075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6ECA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165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1B6F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-1.000</w:t>
            </w:r>
          </w:p>
        </w:tc>
      </w:tr>
      <w:tr w:rsidR="007A35B0" w:rsidRPr="00FB6A8D" w14:paraId="0BF71A65" w14:textId="77777777" w:rsidTr="007463D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E0C1" w14:textId="77777777" w:rsidR="007A35B0" w:rsidRPr="00FB6A8D" w:rsidRDefault="007A35B0" w:rsidP="007A35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2FC4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2126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25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D21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3.027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A3E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AC3D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84A3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514E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1359" w14:textId="77777777" w:rsidR="007A35B0" w:rsidRPr="00FB6A8D" w:rsidRDefault="007A35B0" w:rsidP="007A35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1.000</w:t>
            </w:r>
          </w:p>
        </w:tc>
      </w:tr>
    </w:tbl>
    <w:p w14:paraId="23E22440" w14:textId="77777777" w:rsidR="007A35B0" w:rsidRPr="00FB6A8D" w:rsidRDefault="007A35B0" w:rsidP="00D96716">
      <w:pPr>
        <w:jc w:val="both"/>
      </w:pPr>
    </w:p>
    <w:p w14:paraId="1AD050AC" w14:textId="77777777" w:rsidR="004B0A67" w:rsidRPr="00FB6A8D" w:rsidRDefault="004663B8" w:rsidP="004B0A67">
      <w:pPr>
        <w:jc w:val="center"/>
        <w:rPr>
          <w:sz w:val="24"/>
          <w:szCs w:val="24"/>
        </w:rPr>
      </w:pPr>
      <w:r w:rsidRPr="00FB6A8D">
        <w:rPr>
          <w:sz w:val="24"/>
          <w:szCs w:val="24"/>
        </w:rPr>
        <w:t xml:space="preserve">Następnie, dokonano </w:t>
      </w:r>
      <w:r w:rsidR="004B0A67" w:rsidRPr="00FB6A8D">
        <w:rPr>
          <w:sz w:val="24"/>
          <w:szCs w:val="24"/>
        </w:rPr>
        <w:t>analizy rozkładu wystąpień wartości dla kolumny CLASS:</w:t>
      </w:r>
    </w:p>
    <w:p w14:paraId="2A424F14" w14:textId="705C644B" w:rsidR="00F87489" w:rsidRPr="00FB6A8D" w:rsidRDefault="00F87489" w:rsidP="00F87489">
      <w:pPr>
        <w:pStyle w:val="Caption"/>
        <w:keepNext/>
        <w:jc w:val="center"/>
      </w:pPr>
      <w:r w:rsidRPr="00FB6A8D"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="00E8552B" w:rsidRPr="00FB6A8D">
        <w:t>3</w:t>
      </w:r>
      <w:r w:rsidRPr="00FB6A8D">
        <w:fldChar w:fldCharType="end"/>
      </w:r>
      <w:r w:rsidRPr="00FB6A8D">
        <w:t xml:space="preserve"> – Rozkład wartości CLASS</w:t>
      </w:r>
    </w:p>
    <w:tbl>
      <w:tblPr>
        <w:tblW w:w="2254" w:type="dxa"/>
        <w:jc w:val="center"/>
        <w:tblLook w:val="04A0" w:firstRow="1" w:lastRow="0" w:firstColumn="1" w:lastColumn="0" w:noHBand="0" w:noVBand="1"/>
      </w:tblPr>
      <w:tblGrid>
        <w:gridCol w:w="960"/>
        <w:gridCol w:w="1294"/>
      </w:tblGrid>
      <w:tr w:rsidR="00F87489" w:rsidRPr="00FB6A8D" w14:paraId="04DB2550" w14:textId="77777777" w:rsidTr="00F87489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C3F9" w14:textId="77777777" w:rsidR="00F87489" w:rsidRPr="00FB6A8D" w:rsidRDefault="00F87489" w:rsidP="00F874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Klasa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D131" w14:textId="77777777" w:rsidR="00F87489" w:rsidRPr="00FB6A8D" w:rsidRDefault="00F87489" w:rsidP="00F874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Wystąpienia</w:t>
            </w:r>
          </w:p>
        </w:tc>
      </w:tr>
      <w:tr w:rsidR="00F87489" w:rsidRPr="00FB6A8D" w14:paraId="3518D6DA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1FBD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7FE8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384</w:t>
            </w:r>
          </w:p>
        </w:tc>
      </w:tr>
      <w:tr w:rsidR="00F87489" w:rsidRPr="00FB6A8D" w14:paraId="13891403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2E6F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0581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579</w:t>
            </w:r>
          </w:p>
        </w:tc>
      </w:tr>
      <w:tr w:rsidR="00F87489" w:rsidRPr="00FB6A8D" w14:paraId="6EC3C110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6B05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4D92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</w:tr>
      <w:tr w:rsidR="00F87489" w:rsidRPr="00FB6A8D" w14:paraId="77776A6B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79A6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B271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F87489" w:rsidRPr="00FB6A8D" w14:paraId="6A841302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51D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5852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</w:t>
            </w:r>
          </w:p>
        </w:tc>
      </w:tr>
      <w:tr w:rsidR="00F87489" w:rsidRPr="00FB6A8D" w14:paraId="76C2866C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008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89DC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332</w:t>
            </w:r>
          </w:p>
        </w:tc>
      </w:tr>
      <w:tr w:rsidR="00F87489" w:rsidRPr="00FB6A8D" w14:paraId="457F3935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E4B5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6D1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252</w:t>
            </w:r>
          </w:p>
        </w:tc>
      </w:tr>
      <w:tr w:rsidR="00F87489" w:rsidRPr="00FB6A8D" w14:paraId="46F58F9E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7275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C1EE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</w:t>
            </w:r>
          </w:p>
        </w:tc>
      </w:tr>
      <w:tr w:rsidR="00F87489" w:rsidRPr="00FB6A8D" w14:paraId="231A9A41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772A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6D23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F87489" w:rsidRPr="00FB6A8D" w14:paraId="5EBE3450" w14:textId="77777777" w:rsidTr="00F874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6E7A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275E" w14:textId="77777777" w:rsidR="00F87489" w:rsidRPr="00FB6A8D" w:rsidRDefault="00F87489" w:rsidP="00F874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197</w:t>
            </w:r>
          </w:p>
        </w:tc>
      </w:tr>
    </w:tbl>
    <w:p w14:paraId="36A97513" w14:textId="77777777" w:rsidR="004B0A67" w:rsidRPr="00FB6A8D" w:rsidRDefault="004B0A67" w:rsidP="004B0A67">
      <w:pPr>
        <w:jc w:val="center"/>
      </w:pPr>
    </w:p>
    <w:p w14:paraId="67C2B19D" w14:textId="0F85CB2E" w:rsidR="007555F9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lastRenderedPageBreak/>
        <w:t>Rozkład klas (kolumna CLASS) wskazuje, że zbiór danych jest wyraźnie niezbalansowany. Najliczniejsze klasy to 2 (579 przypadków) oraz 1 (384 przypadki), natomiast klasy takie jak 3 (53), 4 (81) czy 9 (69) są znacznie słabiej reprezentowane. Taki nierównomierny rozkład może wpływać negatywnie na skuteczność modeli klasyfikacyjnych, które mają tendencję do faworyzowania klas dominujących, co należy wziąć pod uwagę przy ewaluacji.</w:t>
      </w:r>
    </w:p>
    <w:p w14:paraId="030BEB26" w14:textId="2BF5D7F6" w:rsidR="00CE2BB1" w:rsidRPr="00FB6A8D" w:rsidRDefault="007555F9" w:rsidP="00CE2BB1">
      <w:pPr>
        <w:jc w:val="center"/>
        <w:rPr>
          <w:sz w:val="24"/>
          <w:szCs w:val="24"/>
        </w:rPr>
      </w:pPr>
      <w:r w:rsidRPr="00FB6A8D">
        <w:rPr>
          <w:sz w:val="24"/>
          <w:szCs w:val="24"/>
        </w:rPr>
        <w:t>Korelacje pomiędzy cechami zostały przedstawione w postaci macierzy korelacji</w:t>
      </w:r>
      <w:r w:rsidR="00CE2BB1" w:rsidRPr="00FB6A8D">
        <w:rPr>
          <w:sz w:val="24"/>
          <w:szCs w:val="24"/>
        </w:rPr>
        <w:t xml:space="preserve"> </w:t>
      </w:r>
      <w:r w:rsidR="00A219DF" w:rsidRPr="00FB6A8D">
        <w:rPr>
          <w:sz w:val="24"/>
          <w:szCs w:val="24"/>
        </w:rPr>
        <w:br/>
      </w:r>
      <w:r w:rsidR="00CE2BB1" w:rsidRPr="00FB6A8D">
        <w:rPr>
          <w:sz w:val="24"/>
          <w:szCs w:val="24"/>
        </w:rPr>
        <w:t>(dla pierwszych pięciu wierszy zbioru danych):</w:t>
      </w:r>
    </w:p>
    <w:p w14:paraId="1D9762BA" w14:textId="5D202DFF" w:rsidR="00C36039" w:rsidRPr="00FB6A8D" w:rsidRDefault="00C36039" w:rsidP="00C36039">
      <w:pPr>
        <w:pStyle w:val="Caption"/>
        <w:keepNext/>
        <w:jc w:val="center"/>
      </w:pPr>
      <w:r w:rsidRPr="00FB6A8D"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="00E8552B" w:rsidRPr="00FB6A8D">
        <w:t>4</w:t>
      </w:r>
      <w:r w:rsidRPr="00FB6A8D">
        <w:fldChar w:fldCharType="end"/>
      </w:r>
      <w:r w:rsidRPr="00FB6A8D">
        <w:t xml:space="preserve"> – Macierz korelacji kolumn</w:t>
      </w:r>
    </w:p>
    <w:tbl>
      <w:tblPr>
        <w:tblW w:w="11440" w:type="dxa"/>
        <w:tblInd w:w="-1224" w:type="dxa"/>
        <w:tblLayout w:type="fixed"/>
        <w:tblLook w:val="0000" w:firstRow="0" w:lastRow="0" w:firstColumn="0" w:lastColumn="0" w:noHBand="0" w:noVBand="0"/>
      </w:tblPr>
      <w:tblGrid>
        <w:gridCol w:w="7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72"/>
        <w:gridCol w:w="495"/>
        <w:gridCol w:w="473"/>
        <w:gridCol w:w="450"/>
        <w:gridCol w:w="450"/>
        <w:gridCol w:w="540"/>
        <w:gridCol w:w="450"/>
        <w:gridCol w:w="450"/>
        <w:gridCol w:w="540"/>
        <w:gridCol w:w="720"/>
        <w:gridCol w:w="720"/>
        <w:gridCol w:w="450"/>
      </w:tblGrid>
      <w:tr w:rsidR="00C36039" w:rsidRPr="00FB6A8D" w14:paraId="0621F5D7" w14:textId="77777777" w:rsidTr="00C36039">
        <w:trPr>
          <w:trHeight w:val="319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29904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8FC03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LB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CCE29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AC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D2C3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FM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3736B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UC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C39FAE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5BE24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05E1D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DP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B5D9B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ASTV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6ED8F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MSTV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86432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ALTV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CA738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MLTV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EC56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Width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A7E59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Min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1EF4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Max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881A3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Nmax</w:t>
            </w:r>
            <w:proofErr w:type="spell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15D8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Nzeros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4D154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Mode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836F2F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Mean</w:t>
            </w:r>
            <w:proofErr w:type="spell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14500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Median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4E723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Variance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80436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Tendency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A6B2B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CLASS</w:t>
            </w:r>
          </w:p>
        </w:tc>
      </w:tr>
      <w:tr w:rsidR="00C36039" w:rsidRPr="00FB6A8D" w14:paraId="6B048A16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E0E74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LB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163AE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DF258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AFBC4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D6E2E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CAD1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4DC3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1501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CA9D4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01AB7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-0.26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B4D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6A58C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DCC52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8524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0.36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E8EF5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3329B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D2FE2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E223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0.71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23B3C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3E52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0.79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6AF48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4372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340DD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</w:tr>
      <w:tr w:rsidR="00C36039" w:rsidRPr="00FB6A8D" w14:paraId="7C0A3827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324DA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AC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DABE0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B9577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5CE47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B5959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81B4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7AEB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963D0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B05A8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8E129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6ADB2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-0.37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6653E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AD1AC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EA4DE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B03C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8E103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0FE22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64789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72308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BDCEA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AD4A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14252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E1306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-0.29</w:t>
            </w:r>
          </w:p>
        </w:tc>
      </w:tr>
      <w:tr w:rsidR="00C36039" w:rsidRPr="00FB6A8D" w14:paraId="12B379DB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19297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FM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590A2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77C6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9BFCD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3FAF4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3320B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7AD23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E04C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D5128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35D4E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36BEB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3EA5C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69B6F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0.15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9C805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3567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6E5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BED7E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6D906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49624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4B699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1DFFF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F0D50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22A7AB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0.09</w:t>
            </w:r>
          </w:p>
        </w:tc>
      </w:tr>
      <w:tr w:rsidR="00C36039" w:rsidRPr="00FB6A8D" w14:paraId="103D2F8F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68E3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UC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9BA2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87478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CFEC5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A9DD4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9BD92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E72CB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C8B5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69FD9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326F2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F418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-0.31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286E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5E2D1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5087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52F57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A03C4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34A23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40FE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6DE75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056C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1E2B9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7C3AF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F0000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</w:tr>
      <w:tr w:rsidR="00C36039" w:rsidRPr="00FB6A8D" w14:paraId="0DDA79D1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564AD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DL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81849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C8DCC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CA165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C8820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0AE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B4251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FF155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31A8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7D780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73376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-0.27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067F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4165D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0.52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EDC82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240CC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0A35B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BC3D2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838CB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BAFAA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2E201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92339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D2709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361BE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0.41</w:t>
            </w:r>
          </w:p>
        </w:tc>
      </w:tr>
      <w:tr w:rsidR="00C36039" w:rsidRPr="00FB6A8D" w14:paraId="43EECE90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80002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DS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93692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350C5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26B76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55B4F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B5D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F989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2E32A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5ACB7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3BC1E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9E36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5BA4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277FF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23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6A7CA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3D850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26819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46625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746F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AA8E1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1A7ED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81FB6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96F98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</w:tr>
      <w:tr w:rsidR="00C36039" w:rsidRPr="00FB6A8D" w14:paraId="730AEAE5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77381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DP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AF92A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9A421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E697B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57312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49D2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0E872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650CF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B0039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860B0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2B3B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960E1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A827B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0814E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7E7E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290D1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E7383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6382A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98D64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613AC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19E8F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0A6C4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E8838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</w:tr>
      <w:tr w:rsidR="00C36039" w:rsidRPr="00FB6A8D" w14:paraId="2B4FEBC5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E2420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ASTV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0B44F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622D8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78329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3968F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7D198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4A5B8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A5A54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C1815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8B881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1085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0.46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D9C29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0B755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A1A44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284CE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1AFF3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BE2E9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0DF42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C56D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7BFB2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DDB0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A99F8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99FB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</w:tr>
      <w:tr w:rsidR="00C36039" w:rsidRPr="00FB6A8D" w14:paraId="5F4663F7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14AD5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MSTV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4A0A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92857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16C56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9FC97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0104B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1DDD0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B64B5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5EA2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A3C86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4D19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-0.47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C4E43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3522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0.66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23123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-0.62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7E610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5C56D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7BD95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4D755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9A330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A4CA3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EE9A0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98475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619B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</w:tr>
      <w:tr w:rsidR="00C36039" w:rsidRPr="00FB6A8D" w14:paraId="6BF71DF0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75E1A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ALTV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5FC01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58A05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0D45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640D18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394A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5B2F6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37312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64923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4ADA1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9CA8F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0A45E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28574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-0.44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A218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4275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F6B1A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09A36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CEF43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7CED7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E49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4446C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5BE1C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F1BD4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0.31</w:t>
            </w:r>
          </w:p>
        </w:tc>
      </w:tr>
      <w:tr w:rsidR="00C36039" w:rsidRPr="00FB6A8D" w14:paraId="1DA4C3D6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44758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MLTV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5D80E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6F4F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915AE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5A788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CF075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8AFD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5E261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E8248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E6F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AB1D0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-0.18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860A8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FE8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4FE6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EFCC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2F8E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934DF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2308B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117A3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89885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41141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AD0BC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A8AA9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-0.22</w:t>
            </w:r>
          </w:p>
        </w:tc>
      </w:tr>
      <w:tr w:rsidR="00C36039" w:rsidRPr="00FB6A8D" w14:paraId="65B79554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F9BB1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Width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8B2CB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FF7C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121C3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D1FC7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CE624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9E098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DF520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5BEC2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7E904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0.66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72731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-0.44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B5740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31C98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0CF95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C73CE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834C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8D550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3401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BD75D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5E6C4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CE25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0.61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3274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781B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0.16</w:t>
            </w:r>
          </w:p>
        </w:tc>
      </w:tr>
      <w:tr w:rsidR="00C36039" w:rsidRPr="00FB6A8D" w14:paraId="1AB71521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8A78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Min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6FFB7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E4BF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84E66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879C3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80B6A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EB37B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C58A0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4BFB0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99A3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-0.62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CD76E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0.42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56AC9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27293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-0.9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65FEF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F2786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3111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-0.66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B3863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16E5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62981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722CD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2FC0B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015A0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719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</w:tr>
      <w:tr w:rsidR="00C36039" w:rsidRPr="00FB6A8D" w14:paraId="309C8CF3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B25DD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Max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6EC8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6DC95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D212E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2D05C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42C06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DB78C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5F3F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5E0E7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5EF30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9E4C0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8D7856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24B61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6AD17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F1DFA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CD57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3615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F669F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D226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2C677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8A5DB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9317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2C9D5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</w:tr>
      <w:tr w:rsidR="00C36039" w:rsidRPr="00FB6A8D" w14:paraId="4F50024B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D817E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Nmax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A2EB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7F9F6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13098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62966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2FE29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140B5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44F6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6685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DCF4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D5A88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AF967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2D29E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0.75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C68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-0.66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2B4F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25A2F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EA279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FD8C5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FEDB0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26409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88A38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F6D84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4BC7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</w:tr>
      <w:tr w:rsidR="00C36039" w:rsidRPr="00FB6A8D" w14:paraId="1B7B0B85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74CCE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Nzeros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E511E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ECCB4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3EF5A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63BF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A30B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014AB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9D4A8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408E9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AC1C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D976A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-0.12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A438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EC8D7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FD0E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266FD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9D0D3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10610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671A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8346C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3E5B1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3865C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A6666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B2693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</w:tr>
      <w:tr w:rsidR="00C36039" w:rsidRPr="00FB6A8D" w14:paraId="5E81DA14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5AB0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Mode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302BB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09564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3FE37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742B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9786E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61F21A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5A3C4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C6AC3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C94D3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A4EAC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0.16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D001C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00FB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C6FD8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F9D48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064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68CE1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B655F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0BCA6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0.89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5FBE2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0.93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0FEDD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23FFA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12E25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</w:tr>
      <w:tr w:rsidR="00C36039" w:rsidRPr="00FB6A8D" w14:paraId="6EA28611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980D2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Mean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3C78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A5F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20009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40AB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DB97D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D2E5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C840A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665B6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CE6D7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4F2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0.22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28062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80B33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678BB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688DD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15D26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C34E7A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A884E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0.89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E8BF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4BA57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0.95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16DAC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D418B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C56AE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</w:t>
            </w:r>
          </w:p>
        </w:tc>
      </w:tr>
      <w:tr w:rsidR="00C36039" w:rsidRPr="00FB6A8D" w14:paraId="25E9BCBB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FE20D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Median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3E392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0.79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23B32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9C060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9F285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DC1CA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43F43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FD52E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61343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1DF25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E68F7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1B420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C16A1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10339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9756D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EC023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1D34E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8405C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0.93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DE2DB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8C5C1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B6727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52265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95625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</w:tr>
      <w:tr w:rsidR="00C36039" w:rsidRPr="00FB6A8D" w14:paraId="4BE22AA2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FA1CB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Variance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2C569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2F54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89CDB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A59C2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655B4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6B0F5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38CCC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13F8E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3FB7B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0.55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78ABF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-0.28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6B2369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3A61F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0.61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CD0D0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-0.54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78DC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A1554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521BB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F781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2AF784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-0.41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A5244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DFA1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1FD13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AB261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</w:tr>
      <w:tr w:rsidR="00C36039" w:rsidRPr="00FB6A8D" w14:paraId="3BA0171A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8A6B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proofErr w:type="spellStart"/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Tendency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4F029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2EFD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7B92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68353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CD48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6737C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496F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B0D70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36EC9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1EE852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0.04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C3639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D14A8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23E52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1B8633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F83BB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18295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F59444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245C3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56D01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79A3D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-0.08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8F9D1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8A4C5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</w:tr>
      <w:tr w:rsidR="00C36039" w:rsidRPr="00FB6A8D" w14:paraId="16E46899" w14:textId="77777777" w:rsidTr="00C36039">
        <w:trPr>
          <w:trHeight w:val="30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7A3045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CLASS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E9FA1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2BE33B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B8FB9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99A42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C530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0.41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48FC1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FCF1ED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D9E19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AF7B06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F7F0E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0.31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8A08D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80ED67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0.16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05A18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CFDB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0F569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7A90C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116170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D3C72C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8CD9BF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-0.11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A4A7A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81F35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  <w:r w:rsidRPr="00FB6A8D"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  <w:t>0.08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B21BE1" w14:textId="77777777" w:rsidR="00C0667D" w:rsidRPr="00FB6A8D" w:rsidRDefault="00C066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eastAsiaTheme="minorHAnsi" w:hAnsi="Consolas" w:cs="Aptos Narrow"/>
                <w:color w:val="000000"/>
                <w:kern w:val="0"/>
                <w:sz w:val="14"/>
                <w:szCs w:val="14"/>
              </w:rPr>
            </w:pPr>
          </w:p>
        </w:tc>
      </w:tr>
    </w:tbl>
    <w:p w14:paraId="3C7B2D8C" w14:textId="77777777" w:rsidR="00A219DF" w:rsidRPr="00FB6A8D" w:rsidRDefault="00A219DF" w:rsidP="00CE2BB1">
      <w:pPr>
        <w:jc w:val="center"/>
      </w:pPr>
    </w:p>
    <w:p w14:paraId="3324CEC5" w14:textId="601AE68F" w:rsidR="007555F9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Zauważalne są silne dodatnie korelacje między niektórymi cechami histogramu FHR, np. „</w:t>
      </w:r>
      <w:proofErr w:type="spellStart"/>
      <w:r w:rsidRPr="00FB6A8D">
        <w:rPr>
          <w:sz w:val="24"/>
          <w:szCs w:val="24"/>
        </w:rPr>
        <w:t>Mode</w:t>
      </w:r>
      <w:proofErr w:type="spellEnd"/>
      <w:r w:rsidRPr="00FB6A8D">
        <w:rPr>
          <w:sz w:val="24"/>
          <w:szCs w:val="24"/>
        </w:rPr>
        <w:t>”, „</w:t>
      </w:r>
      <w:proofErr w:type="spellStart"/>
      <w:r w:rsidRPr="00FB6A8D">
        <w:rPr>
          <w:sz w:val="24"/>
          <w:szCs w:val="24"/>
        </w:rPr>
        <w:t>Mean</w:t>
      </w:r>
      <w:proofErr w:type="spellEnd"/>
      <w:r w:rsidRPr="00FB6A8D">
        <w:rPr>
          <w:sz w:val="24"/>
          <w:szCs w:val="24"/>
        </w:rPr>
        <w:t>” i „Median” są silnie powiązane z cechą „LB” (</w:t>
      </w:r>
      <w:proofErr w:type="spellStart"/>
      <w:r w:rsidRPr="00FB6A8D">
        <w:rPr>
          <w:sz w:val="24"/>
          <w:szCs w:val="24"/>
        </w:rPr>
        <w:t>baseline</w:t>
      </w:r>
      <w:proofErr w:type="spellEnd"/>
      <w:r w:rsidRPr="00FB6A8D">
        <w:rPr>
          <w:sz w:val="24"/>
          <w:szCs w:val="24"/>
        </w:rPr>
        <w:t xml:space="preserve"> FHR), co jest logiczne, ponieważ wszystkie te cechy odnoszą się do częstości rytmu serca. Interesujące są również silne korelacje „DL” z „MSTV” i „</w:t>
      </w:r>
      <w:proofErr w:type="spellStart"/>
      <w:r w:rsidRPr="00FB6A8D">
        <w:rPr>
          <w:sz w:val="24"/>
          <w:szCs w:val="24"/>
        </w:rPr>
        <w:t>Tendency</w:t>
      </w:r>
      <w:proofErr w:type="spellEnd"/>
      <w:r w:rsidRPr="00FB6A8D">
        <w:rPr>
          <w:sz w:val="24"/>
          <w:szCs w:val="24"/>
        </w:rPr>
        <w:t>”, co może sugerować istotne relacje pomiędzy zwolnieniami a zmiennością krótkoterminową. Z drugiej strony, wiele cech (np. „DS”, „DP”) wykazuje bardzo słabą korelację z innymi zmiennymi oraz z klasą, co może oznaczać niską wartość predykcyjną.</w:t>
      </w:r>
    </w:p>
    <w:p w14:paraId="41D983B7" w14:textId="74A996FB" w:rsidR="00D8788E" w:rsidRPr="00FB6A8D" w:rsidRDefault="00D8788E" w:rsidP="00D8788E">
      <w:pPr>
        <w:pStyle w:val="Caption"/>
        <w:keepNext/>
        <w:jc w:val="center"/>
      </w:pPr>
      <w:r w:rsidRPr="00FB6A8D">
        <w:lastRenderedPageBreak/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="00E8552B" w:rsidRPr="00FB6A8D">
        <w:t>5</w:t>
      </w:r>
      <w:r w:rsidRPr="00FB6A8D">
        <w:fldChar w:fldCharType="end"/>
      </w:r>
      <w:r w:rsidRPr="00FB6A8D">
        <w:t xml:space="preserve"> – Wariancja kolumn wejściowych</w:t>
      </w:r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059"/>
        <w:gridCol w:w="1101"/>
      </w:tblGrid>
      <w:tr w:rsidR="00D8788E" w:rsidRPr="00FB6A8D" w14:paraId="080648A1" w14:textId="77777777" w:rsidTr="00D8788E">
        <w:trPr>
          <w:trHeight w:val="315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30BD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Kolumna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8C03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Wariancja</w:t>
            </w:r>
          </w:p>
        </w:tc>
      </w:tr>
      <w:tr w:rsidR="00D8788E" w:rsidRPr="00FB6A8D" w14:paraId="021551F4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ED93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LB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1D3C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9.63E+01</w:t>
            </w:r>
          </w:p>
        </w:tc>
      </w:tr>
      <w:tr w:rsidR="00D8788E" w:rsidRPr="00FB6A8D" w14:paraId="58032609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B83D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B14A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1.47E-05</w:t>
            </w:r>
          </w:p>
        </w:tc>
      </w:tr>
      <w:tr w:rsidR="00D8788E" w:rsidRPr="00FB6A8D" w14:paraId="4D1EAB49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0C6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7176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2.03E-03</w:t>
            </w:r>
          </w:p>
        </w:tc>
      </w:tr>
      <w:tr w:rsidR="00D8788E" w:rsidRPr="00FB6A8D" w14:paraId="52C4CA88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ED2E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UC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D980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8.72E-06</w:t>
            </w:r>
          </w:p>
        </w:tc>
      </w:tr>
      <w:tr w:rsidR="00D8788E" w:rsidRPr="00FB6A8D" w14:paraId="07D3E369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4BC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DL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BEA0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8.73E-06</w:t>
            </w:r>
          </w:p>
        </w:tc>
      </w:tr>
      <w:tr w:rsidR="00D8788E" w:rsidRPr="00FB6A8D" w14:paraId="59BDEEF9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DA1B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909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3.00E-09</w:t>
            </w:r>
          </w:p>
        </w:tc>
      </w:tr>
      <w:tr w:rsidR="00D8788E" w:rsidRPr="00FB6A8D" w14:paraId="362594D4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2D7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10E3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3.61E-07</w:t>
            </w:r>
          </w:p>
        </w:tc>
      </w:tr>
      <w:tr w:rsidR="00D8788E" w:rsidRPr="00FB6A8D" w14:paraId="46060E2F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63FA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ASTV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B4A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2.96E+02</w:t>
            </w:r>
          </w:p>
        </w:tc>
      </w:tr>
      <w:tr w:rsidR="00D8788E" w:rsidRPr="00FB6A8D" w14:paraId="5217397F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4EB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MSTV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BF07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7.81E-01</w:t>
            </w:r>
          </w:p>
        </w:tc>
      </w:tr>
      <w:tr w:rsidR="00D8788E" w:rsidRPr="00FB6A8D" w14:paraId="7A89CF86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A1B0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D3FF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3.39E+02</w:t>
            </w:r>
          </w:p>
        </w:tc>
      </w:tr>
      <w:tr w:rsidR="00D8788E" w:rsidRPr="00FB6A8D" w14:paraId="667691F1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4B7B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MLTV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4A4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3.15E+01</w:t>
            </w:r>
          </w:p>
        </w:tc>
      </w:tr>
      <w:tr w:rsidR="00D8788E" w:rsidRPr="00FB6A8D" w14:paraId="6E60DC1B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A6A3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Width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9E1E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1.53E+03</w:t>
            </w:r>
          </w:p>
        </w:tc>
      </w:tr>
      <w:tr w:rsidR="00D8788E" w:rsidRPr="00FB6A8D" w14:paraId="1FFFB68A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F7B7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DD5B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8.73E+02</w:t>
            </w:r>
          </w:p>
        </w:tc>
      </w:tr>
      <w:tr w:rsidR="00D8788E" w:rsidRPr="00FB6A8D" w14:paraId="093D8F87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94BD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F0E0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3.24E+02</w:t>
            </w:r>
          </w:p>
        </w:tc>
      </w:tr>
      <w:tr w:rsidR="00D8788E" w:rsidRPr="00FB6A8D" w14:paraId="25785C0B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2D4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Nmax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7F1D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8.73E+00</w:t>
            </w:r>
          </w:p>
        </w:tc>
      </w:tr>
      <w:tr w:rsidR="00D8788E" w:rsidRPr="00FB6A8D" w14:paraId="17E1C886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EA0A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Nzeros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4586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4.65E-01</w:t>
            </w:r>
          </w:p>
        </w:tc>
      </w:tr>
      <w:tr w:rsidR="00D8788E" w:rsidRPr="00FB6A8D" w14:paraId="40C1688E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81EA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CD0D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2.70E+02</w:t>
            </w:r>
          </w:p>
        </w:tc>
      </w:tr>
      <w:tr w:rsidR="00D8788E" w:rsidRPr="00FB6A8D" w14:paraId="0EBF39E4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DABD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659E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2.44E+02</w:t>
            </w:r>
          </w:p>
        </w:tc>
      </w:tr>
      <w:tr w:rsidR="00D8788E" w:rsidRPr="00FB6A8D" w14:paraId="02AEE142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AFC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75D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2.07E+02</w:t>
            </w:r>
          </w:p>
        </w:tc>
      </w:tr>
      <w:tr w:rsidR="00D8788E" w:rsidRPr="00FB6A8D" w14:paraId="61AAB098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459F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Variance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916B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8.60E+02</w:t>
            </w:r>
          </w:p>
        </w:tc>
      </w:tr>
      <w:tr w:rsidR="00D8788E" w:rsidRPr="00FB6A8D" w14:paraId="27E3D170" w14:textId="77777777" w:rsidTr="00D8788E">
        <w:trPr>
          <w:trHeight w:val="30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9600" w14:textId="77777777" w:rsidR="00D8788E" w:rsidRPr="00FB6A8D" w:rsidRDefault="00D8788E" w:rsidP="00D878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Tendency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7596" w14:textId="77777777" w:rsidR="00D8788E" w:rsidRPr="00FB6A8D" w:rsidRDefault="00D8788E" w:rsidP="00D878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B6A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3.75E-01</w:t>
            </w:r>
          </w:p>
        </w:tc>
      </w:tr>
    </w:tbl>
    <w:p w14:paraId="312AD978" w14:textId="77777777" w:rsidR="00050456" w:rsidRPr="00FB6A8D" w:rsidRDefault="00050456" w:rsidP="00D96716">
      <w:pPr>
        <w:jc w:val="both"/>
        <w:rPr>
          <w:sz w:val="24"/>
          <w:szCs w:val="24"/>
        </w:rPr>
      </w:pPr>
    </w:p>
    <w:p w14:paraId="261D3A47" w14:textId="77777777" w:rsidR="007555F9" w:rsidRPr="00FB6A8D" w:rsidRDefault="007555F9" w:rsidP="00D967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Analiza wariancji ujawniła, że niektóre cechy wykazują bardzo niską zmienność (np. „DS” czy „DP”), co może sugerować, że dostarczają one niewiele informacji i mogłyby zostać usunięte lub potraktowane jako stałe podczas dalszego przetwarzania. Z drugiej strony, cechy takie jak „Width”, „Min” i „</w:t>
      </w:r>
      <w:proofErr w:type="spellStart"/>
      <w:r w:rsidRPr="00FB6A8D">
        <w:rPr>
          <w:sz w:val="24"/>
          <w:szCs w:val="24"/>
        </w:rPr>
        <w:t>Variance</w:t>
      </w:r>
      <w:proofErr w:type="spellEnd"/>
      <w:r w:rsidRPr="00FB6A8D">
        <w:rPr>
          <w:sz w:val="24"/>
          <w:szCs w:val="24"/>
        </w:rPr>
        <w:t>” wykazują bardzo wysoką wariancję, co może wskazywać na ich istotną rolę w różnicowaniu przypadków.</w:t>
      </w:r>
    </w:p>
    <w:p w14:paraId="07705170" w14:textId="692C9F53" w:rsidR="005D48D8" w:rsidRPr="00FB6A8D" w:rsidRDefault="007555F9" w:rsidP="00B80E16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Podsumowując, analiza wykazała, że zbiór danych zawiera zarówno cechy potencjalnie użyteczne (zróżnicowane, skorelowane z klasą), jak i cechy, które mogą nie wnosić wartości dodanej (</w:t>
      </w:r>
      <w:r w:rsidR="00387EE4" w:rsidRPr="00FB6A8D">
        <w:rPr>
          <w:sz w:val="24"/>
          <w:szCs w:val="24"/>
        </w:rPr>
        <w:t>nisko wariancyjne</w:t>
      </w:r>
      <w:r w:rsidRPr="00FB6A8D">
        <w:rPr>
          <w:sz w:val="24"/>
          <w:szCs w:val="24"/>
        </w:rPr>
        <w:t xml:space="preserve"> lub o dużym stopniu braków). </w:t>
      </w:r>
    </w:p>
    <w:p w14:paraId="68162696" w14:textId="51D7FE74" w:rsidR="000A2E1A" w:rsidRPr="00FB6A8D" w:rsidRDefault="000A2E1A" w:rsidP="005B6DE9">
      <w:pPr>
        <w:pStyle w:val="Heading1"/>
        <w:jc w:val="center"/>
      </w:pPr>
      <w:r w:rsidRPr="00FB6A8D">
        <w:t>P</w:t>
      </w:r>
      <w:r w:rsidR="0030434A" w:rsidRPr="00FB6A8D">
        <w:t>rzygotowanie oraz wstępne przetwarzanie danych</w:t>
      </w:r>
    </w:p>
    <w:p w14:paraId="303CA721" w14:textId="36BDBA58" w:rsidR="0030434A" w:rsidRPr="00FB6A8D" w:rsidRDefault="000C4D27" w:rsidP="000C5674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Dane wejściowe wczytywane są </w:t>
      </w:r>
      <w:r w:rsidR="00FA4A19" w:rsidRPr="00FB6A8D">
        <w:rPr>
          <w:sz w:val="24"/>
          <w:szCs w:val="24"/>
        </w:rPr>
        <w:t xml:space="preserve">z pliku </w:t>
      </w:r>
      <w:proofErr w:type="spellStart"/>
      <w:r w:rsidR="00FA4A19" w:rsidRPr="00FB6A8D">
        <w:rPr>
          <w:rFonts w:ascii="Consolas" w:hAnsi="Consolas"/>
          <w:b/>
          <w:bCs/>
        </w:rPr>
        <w:t>csv</w:t>
      </w:r>
      <w:proofErr w:type="spellEnd"/>
      <w:r w:rsidR="00FA4A19" w:rsidRPr="00FB6A8D">
        <w:rPr>
          <w:sz w:val="24"/>
          <w:szCs w:val="24"/>
        </w:rPr>
        <w:t xml:space="preserve"> </w:t>
      </w:r>
      <w:r w:rsidRPr="00FB6A8D">
        <w:rPr>
          <w:sz w:val="24"/>
          <w:szCs w:val="24"/>
        </w:rPr>
        <w:t xml:space="preserve">za pomocą funkcji </w:t>
      </w:r>
      <w:proofErr w:type="spellStart"/>
      <w:r w:rsidR="00FA4A19" w:rsidRPr="00FB6A8D">
        <w:rPr>
          <w:rFonts w:ascii="Consolas" w:hAnsi="Consolas"/>
          <w:b/>
          <w:bCs/>
        </w:rPr>
        <w:t>read_csv</w:t>
      </w:r>
      <w:proofErr w:type="spellEnd"/>
      <w:r w:rsidRPr="00FB6A8D">
        <w:rPr>
          <w:rFonts w:ascii="Consolas" w:hAnsi="Consolas"/>
          <w:b/>
          <w:bCs/>
        </w:rPr>
        <w:t>()</w:t>
      </w:r>
      <w:r w:rsidRPr="00FB6A8D">
        <w:rPr>
          <w:sz w:val="24"/>
          <w:szCs w:val="24"/>
        </w:rPr>
        <w:t xml:space="preserve">, </w:t>
      </w:r>
      <w:r w:rsidR="00FA4A19" w:rsidRPr="00FB6A8D">
        <w:rPr>
          <w:sz w:val="24"/>
          <w:szCs w:val="24"/>
        </w:rPr>
        <w:t>zaimplementowanej</w:t>
      </w:r>
      <w:r w:rsidRPr="00FB6A8D">
        <w:rPr>
          <w:sz w:val="24"/>
          <w:szCs w:val="24"/>
        </w:rPr>
        <w:t xml:space="preserve"> </w:t>
      </w:r>
      <w:r w:rsidR="00FA4A19" w:rsidRPr="00FB6A8D">
        <w:rPr>
          <w:sz w:val="24"/>
          <w:szCs w:val="24"/>
        </w:rPr>
        <w:t>w</w:t>
      </w:r>
      <w:r w:rsidRPr="00FB6A8D">
        <w:rPr>
          <w:sz w:val="24"/>
          <w:szCs w:val="24"/>
        </w:rPr>
        <w:t xml:space="preserve"> bibliote</w:t>
      </w:r>
      <w:r w:rsidR="00FA4A19" w:rsidRPr="00FB6A8D">
        <w:rPr>
          <w:sz w:val="24"/>
          <w:szCs w:val="24"/>
        </w:rPr>
        <w:t>ce</w:t>
      </w:r>
      <w:r w:rsidRPr="00FB6A8D">
        <w:rPr>
          <w:sz w:val="24"/>
          <w:szCs w:val="24"/>
        </w:rPr>
        <w:t xml:space="preserve"> </w:t>
      </w:r>
      <w:proofErr w:type="spellStart"/>
      <w:r w:rsidRPr="00FB6A8D">
        <w:rPr>
          <w:sz w:val="24"/>
          <w:szCs w:val="24"/>
        </w:rPr>
        <w:t>pandas</w:t>
      </w:r>
      <w:proofErr w:type="spellEnd"/>
      <w:r w:rsidR="00484A70" w:rsidRPr="00FB6A8D">
        <w:rPr>
          <w:sz w:val="24"/>
          <w:szCs w:val="24"/>
        </w:rPr>
        <w:t xml:space="preserve">. Wczytane dane przedstawione są za pomocą obiektu typu </w:t>
      </w:r>
      <w:proofErr w:type="spellStart"/>
      <w:r w:rsidR="00484A70" w:rsidRPr="00FB6A8D">
        <w:rPr>
          <w:rFonts w:ascii="Consolas" w:hAnsi="Consolas"/>
          <w:b/>
          <w:bCs/>
        </w:rPr>
        <w:t>DataFrame</w:t>
      </w:r>
      <w:proofErr w:type="spellEnd"/>
      <w:r w:rsidR="00484A70" w:rsidRPr="00FB6A8D">
        <w:rPr>
          <w:sz w:val="24"/>
          <w:szCs w:val="24"/>
        </w:rPr>
        <w:t xml:space="preserve">. </w:t>
      </w:r>
    </w:p>
    <w:p w14:paraId="2A543B00" w14:textId="715479BA" w:rsidR="000C5674" w:rsidRPr="00FB6A8D" w:rsidRDefault="000C5674" w:rsidP="000C5674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Po wczytaniu danych, głównym etapem przygotowania jest ich oczyszczenie oraz przeskalowanie, co odbywa się w funkcji </w:t>
      </w:r>
      <w:proofErr w:type="spellStart"/>
      <w:r w:rsidRPr="00FB6A8D">
        <w:rPr>
          <w:rFonts w:ascii="Consolas" w:hAnsi="Consolas"/>
        </w:rPr>
        <w:t>preprocess_data</w:t>
      </w:r>
      <w:proofErr w:type="spellEnd"/>
      <w:r w:rsidRPr="00FB6A8D">
        <w:rPr>
          <w:rFonts w:ascii="Consolas" w:hAnsi="Consolas"/>
        </w:rPr>
        <w:t xml:space="preserve">(). </w:t>
      </w:r>
      <w:r w:rsidRPr="00FB6A8D">
        <w:rPr>
          <w:sz w:val="24"/>
          <w:szCs w:val="24"/>
        </w:rPr>
        <w:t xml:space="preserve">Pierwszym krokiem w tej funkcji jest zamiana pustych pól (również tych zawierających tylko spacje) na wartość </w:t>
      </w:r>
      <w:proofErr w:type="spellStart"/>
      <w:r w:rsidRPr="00FB6A8D">
        <w:rPr>
          <w:rFonts w:ascii="Consolas" w:hAnsi="Consolas"/>
          <w:b/>
          <w:bCs/>
        </w:rPr>
        <w:t>NaN</w:t>
      </w:r>
      <w:proofErr w:type="spellEnd"/>
      <w:r w:rsidRPr="00FB6A8D">
        <w:rPr>
          <w:sz w:val="24"/>
          <w:szCs w:val="24"/>
        </w:rPr>
        <w:t>, aby możliwe było ich dalsze przetwarzanie:</w:t>
      </w:r>
    </w:p>
    <w:p w14:paraId="2DF72725" w14:textId="0E77F180" w:rsidR="000462EF" w:rsidRPr="00FB6A8D" w:rsidRDefault="00CD71E4" w:rsidP="00CD71E4">
      <w:pPr>
        <w:jc w:val="center"/>
      </w:pPr>
      <w:r w:rsidRPr="00FB6A8D">
        <w:lastRenderedPageBreak/>
        <w:drawing>
          <wp:inline distT="0" distB="0" distL="0" distR="0" wp14:anchorId="2A786709" wp14:editId="5C0477BE">
            <wp:extent cx="4126446" cy="370827"/>
            <wp:effectExtent l="0" t="0" r="0" b="0"/>
            <wp:docPr id="62357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77" cy="3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31B8" w14:textId="546F722B" w:rsidR="00B117DA" w:rsidRPr="00FB6A8D" w:rsidRDefault="000462EF" w:rsidP="000462EF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Następnie, brakujące wartości w zbiorze danych są uzupełniane średnią wartością z danej kolumny, co jest prostą, ale skuteczną metodą imputacji:</w:t>
      </w:r>
    </w:p>
    <w:p w14:paraId="73008331" w14:textId="7D9AABA7" w:rsidR="00CD71E4" w:rsidRPr="00FB6A8D" w:rsidRDefault="00CD71E4" w:rsidP="00CD71E4">
      <w:pPr>
        <w:jc w:val="center"/>
      </w:pPr>
      <w:r w:rsidRPr="00FB6A8D">
        <w:drawing>
          <wp:inline distT="0" distB="0" distL="0" distR="0" wp14:anchorId="31B80F78" wp14:editId="7D363459">
            <wp:extent cx="2086266" cy="247685"/>
            <wp:effectExtent l="0" t="0" r="0" b="0"/>
            <wp:docPr id="17168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0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47A" w14:textId="1F1B4EAB" w:rsidR="00CD71E4" w:rsidRPr="00FB6A8D" w:rsidRDefault="00CD71E4" w:rsidP="000462EF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Po oczyszczeniu danych, zbiór cech (X) zostaje oddzielony od etykiet klasowych (y), co przygotowuje dane do procesu uczenia:</w:t>
      </w:r>
    </w:p>
    <w:p w14:paraId="54D44625" w14:textId="3BDBDD57" w:rsidR="000C28D5" w:rsidRPr="00FB6A8D" w:rsidRDefault="000C28D5" w:rsidP="000C28D5">
      <w:pPr>
        <w:jc w:val="center"/>
      </w:pPr>
      <w:r w:rsidRPr="00FB6A8D">
        <w:drawing>
          <wp:inline distT="0" distB="0" distL="0" distR="0" wp14:anchorId="7CC729F8" wp14:editId="7FA2075A">
            <wp:extent cx="2229161" cy="438211"/>
            <wp:effectExtent l="0" t="0" r="0" b="0"/>
            <wp:docPr id="1090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B314" w14:textId="51556532" w:rsidR="000C28D5" w:rsidRPr="00FB6A8D" w:rsidRDefault="000C28D5" w:rsidP="000C28D5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W dalszej części funkcji zastosowano możliwość przeskalowania danych z wykorzystaniem dwóch strategii: normalizacji (</w:t>
      </w:r>
      <w:proofErr w:type="spellStart"/>
      <w:r w:rsidRPr="00FB6A8D">
        <w:rPr>
          <w:rFonts w:ascii="Consolas" w:hAnsi="Consolas"/>
        </w:rPr>
        <w:t>Normalizer</w:t>
      </w:r>
      <w:proofErr w:type="spellEnd"/>
      <w:r w:rsidRPr="00FB6A8D">
        <w:rPr>
          <w:sz w:val="24"/>
          <w:szCs w:val="24"/>
        </w:rPr>
        <w:t>) lub standaryzacji (</w:t>
      </w:r>
      <w:proofErr w:type="spellStart"/>
      <w:r w:rsidRPr="00FB6A8D">
        <w:rPr>
          <w:rFonts w:ascii="Consolas" w:hAnsi="Consolas"/>
        </w:rPr>
        <w:t>StandardScaler</w:t>
      </w:r>
      <w:proofErr w:type="spellEnd"/>
      <w:r w:rsidRPr="00FB6A8D">
        <w:rPr>
          <w:sz w:val="24"/>
          <w:szCs w:val="24"/>
        </w:rPr>
        <w:t xml:space="preserve">), wybieranych na podstawie argumentu </w:t>
      </w:r>
      <w:r w:rsidRPr="00FB6A8D">
        <w:rPr>
          <w:rFonts w:ascii="Consolas" w:hAnsi="Consolas"/>
        </w:rPr>
        <w:t>--</w:t>
      </w:r>
      <w:proofErr w:type="spellStart"/>
      <w:r w:rsidRPr="00FB6A8D">
        <w:rPr>
          <w:rFonts w:ascii="Consolas" w:hAnsi="Consolas"/>
        </w:rPr>
        <w:t>scaler</w:t>
      </w:r>
      <w:proofErr w:type="spellEnd"/>
      <w:r w:rsidRPr="00FB6A8D">
        <w:rPr>
          <w:rFonts w:ascii="Consolas" w:hAnsi="Consolas"/>
        </w:rPr>
        <w:t xml:space="preserve"> </w:t>
      </w:r>
      <w:r w:rsidRPr="00FB6A8D">
        <w:rPr>
          <w:sz w:val="24"/>
          <w:szCs w:val="24"/>
        </w:rPr>
        <w:t>przekazywanego z linii komend:</w:t>
      </w:r>
    </w:p>
    <w:p w14:paraId="3DE706EE" w14:textId="1FAB06BF" w:rsidR="000C28D5" w:rsidRPr="00FB6A8D" w:rsidRDefault="002614B5" w:rsidP="002614B5">
      <w:pPr>
        <w:jc w:val="center"/>
      </w:pPr>
      <w:r w:rsidRPr="00FB6A8D">
        <w:drawing>
          <wp:inline distT="0" distB="0" distL="0" distR="0" wp14:anchorId="7F2E84D5" wp14:editId="7C08143A">
            <wp:extent cx="2785533" cy="1210733"/>
            <wp:effectExtent l="0" t="0" r="0" b="8890"/>
            <wp:docPr id="84589396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3967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895" cy="1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213" w14:textId="526AB043" w:rsidR="002614B5" w:rsidRPr="00FB6A8D" w:rsidRDefault="002614B5" w:rsidP="002614B5">
      <w:pPr>
        <w:rPr>
          <w:sz w:val="28"/>
          <w:szCs w:val="28"/>
        </w:rPr>
      </w:pPr>
      <w:r w:rsidRPr="00FB6A8D">
        <w:rPr>
          <w:sz w:val="24"/>
          <w:szCs w:val="24"/>
        </w:rPr>
        <w:t xml:space="preserve">Po wybraniu odpowiedniego </w:t>
      </w:r>
      <w:proofErr w:type="spellStart"/>
      <w:r w:rsidRPr="00FB6A8D">
        <w:rPr>
          <w:sz w:val="24"/>
          <w:szCs w:val="24"/>
        </w:rPr>
        <w:t>skalera</w:t>
      </w:r>
      <w:proofErr w:type="spellEnd"/>
      <w:r w:rsidRPr="00FB6A8D">
        <w:rPr>
          <w:sz w:val="24"/>
          <w:szCs w:val="24"/>
        </w:rPr>
        <w:t xml:space="preserve"> dane są przetwarzane:</w:t>
      </w:r>
    </w:p>
    <w:p w14:paraId="3EAC780F" w14:textId="312CB82C" w:rsidR="002614B5" w:rsidRPr="00FB6A8D" w:rsidRDefault="00EB0E1A" w:rsidP="00EB0E1A">
      <w:pPr>
        <w:jc w:val="center"/>
      </w:pPr>
      <w:r w:rsidRPr="00FB6A8D">
        <w:drawing>
          <wp:inline distT="0" distB="0" distL="0" distR="0" wp14:anchorId="1BA22C9B" wp14:editId="141C854B">
            <wp:extent cx="2531534" cy="793584"/>
            <wp:effectExtent l="0" t="0" r="2540" b="6985"/>
            <wp:docPr id="2206347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470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733" cy="7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A128" w14:textId="780018A0" w:rsidR="00EB0E1A" w:rsidRPr="00FB6A8D" w:rsidRDefault="00F235C4" w:rsidP="00F235C4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Ostatecznie dane są dzielone na zbiór treningowy i testowy przy pomocy funkcji </w:t>
      </w:r>
      <w:proofErr w:type="spellStart"/>
      <w:r w:rsidRPr="00FB6A8D">
        <w:rPr>
          <w:rFonts w:ascii="Consolas" w:hAnsi="Consolas"/>
        </w:rPr>
        <w:t>train_test_split</w:t>
      </w:r>
      <w:proofErr w:type="spellEnd"/>
      <w:r w:rsidR="00B071F4" w:rsidRPr="00FB6A8D">
        <w:rPr>
          <w:rFonts w:ascii="Consolas" w:hAnsi="Consolas"/>
        </w:rPr>
        <w:t>()</w:t>
      </w:r>
      <w:r w:rsidRPr="00FB6A8D">
        <w:t xml:space="preserve"> </w:t>
      </w:r>
      <w:r w:rsidRPr="00FB6A8D">
        <w:rPr>
          <w:sz w:val="24"/>
          <w:szCs w:val="24"/>
        </w:rPr>
        <w:t xml:space="preserve">z </w:t>
      </w:r>
      <w:proofErr w:type="spellStart"/>
      <w:r w:rsidRPr="00FB6A8D">
        <w:rPr>
          <w:rFonts w:ascii="Consolas" w:hAnsi="Consolas"/>
          <w:b/>
          <w:bCs/>
        </w:rPr>
        <w:t>sklearn</w:t>
      </w:r>
      <w:proofErr w:type="spellEnd"/>
      <w:r w:rsidRPr="00FB6A8D">
        <w:rPr>
          <w:sz w:val="24"/>
          <w:szCs w:val="24"/>
        </w:rPr>
        <w:t xml:space="preserve">, a proporcja podziału ustalana jest przez użytkownika za pomocą parametru CLI </w:t>
      </w:r>
      <w:r w:rsidRPr="00FB6A8D">
        <w:rPr>
          <w:rFonts w:ascii="Consolas" w:hAnsi="Consolas"/>
        </w:rPr>
        <w:t>--ratio</w:t>
      </w:r>
      <w:r w:rsidRPr="00FB6A8D">
        <w:rPr>
          <w:sz w:val="24"/>
          <w:szCs w:val="24"/>
        </w:rPr>
        <w:t>:</w:t>
      </w:r>
    </w:p>
    <w:p w14:paraId="0AE574BA" w14:textId="6FA7D0E0" w:rsidR="000C4D27" w:rsidRPr="00FB6A8D" w:rsidRDefault="00F450CD" w:rsidP="00F450CD">
      <w:pPr>
        <w:jc w:val="center"/>
      </w:pPr>
      <w:r w:rsidRPr="00FB6A8D">
        <w:drawing>
          <wp:inline distT="0" distB="0" distL="0" distR="0" wp14:anchorId="4BB67A84" wp14:editId="198C8DC8">
            <wp:extent cx="4377267" cy="1047518"/>
            <wp:effectExtent l="0" t="0" r="4445" b="635"/>
            <wp:docPr id="906586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68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191" cy="10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D716" w14:textId="53DB04CD" w:rsidR="0030434A" w:rsidRPr="00FB6A8D" w:rsidRDefault="00F76445" w:rsidP="00F76445">
      <w:pPr>
        <w:pStyle w:val="Heading1"/>
        <w:jc w:val="center"/>
      </w:pPr>
      <w:r w:rsidRPr="00FB6A8D">
        <w:t>Klasyfikacja</w:t>
      </w:r>
    </w:p>
    <w:p w14:paraId="69BA2C45" w14:textId="7AD9E54A" w:rsidR="00F76445" w:rsidRPr="00FB6A8D" w:rsidRDefault="00AF5287" w:rsidP="0080182D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Do rozwiązania problemu klasyfikacji wzorców morfologicznych płodu zastosowano dwa klasyczne algorytmy uczenia nadzorowanego: naiwny klasyfikator Bayesa (</w:t>
      </w:r>
      <w:proofErr w:type="spellStart"/>
      <w:r w:rsidRPr="00FB6A8D">
        <w:rPr>
          <w:sz w:val="24"/>
          <w:szCs w:val="24"/>
        </w:rPr>
        <w:t>Naive</w:t>
      </w:r>
      <w:proofErr w:type="spellEnd"/>
      <w:r w:rsidRPr="00FB6A8D">
        <w:rPr>
          <w:sz w:val="24"/>
          <w:szCs w:val="24"/>
        </w:rPr>
        <w:t xml:space="preserve"> Bayes) oraz drzewo decyzyjne (</w:t>
      </w:r>
      <w:proofErr w:type="spellStart"/>
      <w:r w:rsidRPr="00FB6A8D">
        <w:rPr>
          <w:sz w:val="24"/>
          <w:szCs w:val="24"/>
        </w:rPr>
        <w:t>Decision</w:t>
      </w:r>
      <w:proofErr w:type="spellEnd"/>
      <w:r w:rsidRPr="00FB6A8D">
        <w:rPr>
          <w:sz w:val="24"/>
          <w:szCs w:val="24"/>
        </w:rPr>
        <w:t xml:space="preserve"> </w:t>
      </w:r>
      <w:proofErr w:type="spellStart"/>
      <w:r w:rsidRPr="00FB6A8D">
        <w:rPr>
          <w:sz w:val="24"/>
          <w:szCs w:val="24"/>
        </w:rPr>
        <w:t>Tree</w:t>
      </w:r>
      <w:proofErr w:type="spellEnd"/>
      <w:r w:rsidRPr="00FB6A8D">
        <w:rPr>
          <w:sz w:val="24"/>
          <w:szCs w:val="24"/>
        </w:rPr>
        <w:t xml:space="preserve">). W obu przypadkach użytkownik ma możliwość </w:t>
      </w:r>
      <w:r w:rsidRPr="00FB6A8D">
        <w:rPr>
          <w:sz w:val="24"/>
          <w:szCs w:val="24"/>
        </w:rPr>
        <w:lastRenderedPageBreak/>
        <w:t xml:space="preserve">wyboru konkretnych wariantów modelu oraz konfiguracji </w:t>
      </w:r>
      <w:proofErr w:type="spellStart"/>
      <w:r w:rsidRPr="00FB6A8D">
        <w:rPr>
          <w:sz w:val="24"/>
          <w:szCs w:val="24"/>
        </w:rPr>
        <w:t>hiperparametrów</w:t>
      </w:r>
      <w:proofErr w:type="spellEnd"/>
      <w:r w:rsidRPr="00FB6A8D">
        <w:rPr>
          <w:sz w:val="24"/>
          <w:szCs w:val="24"/>
        </w:rPr>
        <w:t xml:space="preserve"> </w:t>
      </w:r>
      <w:r w:rsidR="0080182D" w:rsidRPr="00FB6A8D">
        <w:rPr>
          <w:sz w:val="24"/>
          <w:szCs w:val="24"/>
        </w:rPr>
        <w:t xml:space="preserve">za pomocą argumentów CLI programu. </w:t>
      </w:r>
    </w:p>
    <w:p w14:paraId="3340D2AC" w14:textId="093D1EBA" w:rsidR="0080182D" w:rsidRPr="00FB6A8D" w:rsidRDefault="0080182D" w:rsidP="0080182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B6A8D">
        <w:rPr>
          <w:b/>
          <w:bCs/>
          <w:sz w:val="24"/>
          <w:szCs w:val="24"/>
        </w:rPr>
        <w:t>Naive</w:t>
      </w:r>
      <w:proofErr w:type="spellEnd"/>
      <w:r w:rsidRPr="00FB6A8D">
        <w:rPr>
          <w:b/>
          <w:bCs/>
          <w:sz w:val="24"/>
          <w:szCs w:val="24"/>
        </w:rPr>
        <w:t xml:space="preserve"> Bayes</w:t>
      </w:r>
    </w:p>
    <w:p w14:paraId="34FE7B7E" w14:textId="77777777" w:rsidR="00636F74" w:rsidRPr="00FB6A8D" w:rsidRDefault="00636F74" w:rsidP="00636F74">
      <w:pPr>
        <w:ind w:left="360"/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Algorytm </w:t>
      </w:r>
      <w:proofErr w:type="spellStart"/>
      <w:r w:rsidRPr="00FB6A8D">
        <w:rPr>
          <w:sz w:val="24"/>
          <w:szCs w:val="24"/>
        </w:rPr>
        <w:t>Naive</w:t>
      </w:r>
      <w:proofErr w:type="spellEnd"/>
      <w:r w:rsidRPr="00FB6A8D">
        <w:rPr>
          <w:sz w:val="24"/>
          <w:szCs w:val="24"/>
        </w:rPr>
        <w:t xml:space="preserve"> Bayes został zaimplementowany w trzech odmianach dostępnych w bibliotece </w:t>
      </w:r>
      <w:r w:rsidRPr="00FB6A8D">
        <w:rPr>
          <w:rFonts w:ascii="Consolas" w:hAnsi="Consolas"/>
        </w:rPr>
        <w:t>scikit-learn</w:t>
      </w:r>
      <w:r w:rsidRPr="00FB6A8D">
        <w:rPr>
          <w:sz w:val="24"/>
          <w:szCs w:val="24"/>
        </w:rPr>
        <w:t>:</w:t>
      </w:r>
    </w:p>
    <w:p w14:paraId="21D46CCA" w14:textId="12ACFEFB" w:rsidR="00636F74" w:rsidRPr="00FB6A8D" w:rsidRDefault="00636F74" w:rsidP="00636F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GaussianNB</w:t>
      </w:r>
      <w:proofErr w:type="spellEnd"/>
      <w:r w:rsidRPr="00FB6A8D">
        <w:rPr>
          <w:sz w:val="24"/>
          <w:szCs w:val="24"/>
        </w:rPr>
        <w:t xml:space="preserve"> – wariant zakładający rozkład normalny zmiennych wejściowych. Parametrem dostosowywanym jest </w:t>
      </w:r>
      <w:proofErr w:type="spellStart"/>
      <w:r w:rsidRPr="00FB6A8D">
        <w:rPr>
          <w:rFonts w:ascii="Consolas" w:hAnsi="Consolas"/>
          <w:b/>
          <w:bCs/>
        </w:rPr>
        <w:t>var_smoothing</w:t>
      </w:r>
      <w:proofErr w:type="spellEnd"/>
      <w:r w:rsidRPr="00FB6A8D">
        <w:rPr>
          <w:sz w:val="24"/>
          <w:szCs w:val="24"/>
        </w:rPr>
        <w:t>, kontrolujący stabilność obliczeń w przypadku małych wariancji</w:t>
      </w:r>
      <w:r w:rsidR="002245C4" w:rsidRPr="00FB6A8D">
        <w:rPr>
          <w:sz w:val="24"/>
          <w:szCs w:val="24"/>
        </w:rPr>
        <w:t>.</w:t>
      </w:r>
    </w:p>
    <w:p w14:paraId="77A19200" w14:textId="6FC662B3" w:rsidR="00636F74" w:rsidRPr="00FB6A8D" w:rsidRDefault="002245C4" w:rsidP="00636F7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MultinomialNB</w:t>
      </w:r>
      <w:proofErr w:type="spellEnd"/>
      <w:r w:rsidRPr="00FB6A8D">
        <w:rPr>
          <w:sz w:val="24"/>
          <w:szCs w:val="24"/>
        </w:rPr>
        <w:t xml:space="preserve"> – odpowiedni do danych dyskretnych, oparty o rozkład wielomianowy. Użytkownik może ustawić wartość parametru </w:t>
      </w:r>
      <w:proofErr w:type="spellStart"/>
      <w:r w:rsidRPr="00FB6A8D">
        <w:rPr>
          <w:rFonts w:ascii="Consolas" w:hAnsi="Consolas"/>
          <w:b/>
          <w:bCs/>
        </w:rPr>
        <w:t>alpha</w:t>
      </w:r>
      <w:proofErr w:type="spellEnd"/>
      <w:r w:rsidRPr="00FB6A8D">
        <w:rPr>
          <w:sz w:val="24"/>
          <w:szCs w:val="24"/>
        </w:rPr>
        <w:t>, czyli współczynnika Laplace'owego wygładzania</w:t>
      </w:r>
    </w:p>
    <w:p w14:paraId="41086FCC" w14:textId="23F4F078" w:rsidR="0080182D" w:rsidRPr="00FB6A8D" w:rsidRDefault="005F0875" w:rsidP="001A3DD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BernoulliNB</w:t>
      </w:r>
      <w:proofErr w:type="spellEnd"/>
      <w:r w:rsidRPr="00FB6A8D">
        <w:rPr>
          <w:sz w:val="24"/>
          <w:szCs w:val="24"/>
        </w:rPr>
        <w:t xml:space="preserve"> – wariant dla danych binarnych; oprócz </w:t>
      </w:r>
      <w:proofErr w:type="spellStart"/>
      <w:r w:rsidRPr="00FB6A8D">
        <w:rPr>
          <w:rFonts w:ascii="Consolas" w:hAnsi="Consolas"/>
          <w:b/>
          <w:bCs/>
        </w:rPr>
        <w:t>alpha</w:t>
      </w:r>
      <w:proofErr w:type="spellEnd"/>
      <w:r w:rsidRPr="00FB6A8D">
        <w:rPr>
          <w:sz w:val="24"/>
          <w:szCs w:val="24"/>
        </w:rPr>
        <w:t xml:space="preserve">, posiada także parametr </w:t>
      </w:r>
      <w:proofErr w:type="spellStart"/>
      <w:r w:rsidRPr="00FB6A8D">
        <w:rPr>
          <w:rFonts w:ascii="Consolas" w:hAnsi="Consolas"/>
          <w:b/>
          <w:bCs/>
        </w:rPr>
        <w:t>binarize</w:t>
      </w:r>
      <w:proofErr w:type="spellEnd"/>
      <w:r w:rsidRPr="00FB6A8D">
        <w:rPr>
          <w:sz w:val="24"/>
          <w:szCs w:val="24"/>
        </w:rPr>
        <w:t>, który określa próg binarnego przekształcenia danych:</w:t>
      </w:r>
    </w:p>
    <w:p w14:paraId="25E00DFF" w14:textId="1E50A723" w:rsidR="001A3DD0" w:rsidRPr="00FB6A8D" w:rsidRDefault="001A3DD0" w:rsidP="001A3DD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B6A8D">
        <w:rPr>
          <w:b/>
          <w:bCs/>
          <w:sz w:val="24"/>
          <w:szCs w:val="24"/>
        </w:rPr>
        <w:t>Decision</w:t>
      </w:r>
      <w:proofErr w:type="spellEnd"/>
      <w:r w:rsidRPr="00FB6A8D">
        <w:rPr>
          <w:b/>
          <w:bCs/>
          <w:sz w:val="24"/>
          <w:szCs w:val="24"/>
        </w:rPr>
        <w:t xml:space="preserve"> </w:t>
      </w:r>
      <w:proofErr w:type="spellStart"/>
      <w:r w:rsidRPr="00FB6A8D">
        <w:rPr>
          <w:b/>
          <w:bCs/>
          <w:sz w:val="24"/>
          <w:szCs w:val="24"/>
        </w:rPr>
        <w:t>Tree</w:t>
      </w:r>
      <w:proofErr w:type="spellEnd"/>
    </w:p>
    <w:p w14:paraId="1008A59A" w14:textId="0B4D7A71" w:rsidR="001A3DD0" w:rsidRPr="00FB6A8D" w:rsidRDefault="00A333E7" w:rsidP="001A3DD0">
      <w:pPr>
        <w:ind w:left="360"/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W przypadku klasyfikatora drzewa decyzyjnego wykorzystano klasę </w:t>
      </w:r>
      <w:proofErr w:type="spellStart"/>
      <w:r w:rsidRPr="00FB6A8D">
        <w:rPr>
          <w:rFonts w:ascii="Consolas" w:hAnsi="Consolas"/>
          <w:b/>
          <w:bCs/>
        </w:rPr>
        <w:t>DecisionTreeClassifier</w:t>
      </w:r>
      <w:proofErr w:type="spellEnd"/>
      <w:r w:rsidRPr="00FB6A8D">
        <w:rPr>
          <w:sz w:val="24"/>
          <w:szCs w:val="24"/>
        </w:rPr>
        <w:t xml:space="preserve"> z </w:t>
      </w:r>
      <w:r w:rsidRPr="00FB6A8D">
        <w:rPr>
          <w:rFonts w:ascii="Consolas" w:hAnsi="Consolas"/>
        </w:rPr>
        <w:t>scikit-learn.</w:t>
      </w:r>
      <w:r w:rsidR="00883B83" w:rsidRPr="00FB6A8D">
        <w:rPr>
          <w:rFonts w:ascii="Consolas" w:hAnsi="Consolas"/>
        </w:rPr>
        <w:t xml:space="preserve"> </w:t>
      </w:r>
      <w:r w:rsidR="00883B83" w:rsidRPr="00FB6A8D">
        <w:rPr>
          <w:sz w:val="24"/>
          <w:szCs w:val="24"/>
        </w:rPr>
        <w:t>Z poziomu programu możliwe jest dost</w:t>
      </w:r>
      <w:r w:rsidR="008E2A48" w:rsidRPr="00FB6A8D">
        <w:rPr>
          <w:sz w:val="24"/>
          <w:szCs w:val="24"/>
        </w:rPr>
        <w:t xml:space="preserve">osowanie następujących </w:t>
      </w:r>
      <w:proofErr w:type="spellStart"/>
      <w:r w:rsidR="008E2A48" w:rsidRPr="00FB6A8D">
        <w:rPr>
          <w:sz w:val="24"/>
          <w:szCs w:val="24"/>
        </w:rPr>
        <w:t>hiperparametrów</w:t>
      </w:r>
      <w:proofErr w:type="spellEnd"/>
      <w:r w:rsidR="00390BE5" w:rsidRPr="00FB6A8D">
        <w:rPr>
          <w:sz w:val="24"/>
          <w:szCs w:val="24"/>
        </w:rPr>
        <w:t xml:space="preserve"> ( w nawiasach podano domyślne wartości)</w:t>
      </w:r>
      <w:r w:rsidR="008E2A48" w:rsidRPr="00FB6A8D">
        <w:rPr>
          <w:sz w:val="24"/>
          <w:szCs w:val="24"/>
        </w:rPr>
        <w:t>:</w:t>
      </w:r>
    </w:p>
    <w:p w14:paraId="5267527A" w14:textId="0D615D9A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max_depth</w:t>
      </w:r>
      <w:proofErr w:type="spellEnd"/>
      <w:r w:rsidRPr="00FB6A8D">
        <w:t xml:space="preserve"> </w:t>
      </w:r>
      <w:r w:rsidR="00390BE5" w:rsidRPr="00FB6A8D">
        <w:t xml:space="preserve">(None) </w:t>
      </w:r>
      <w:r w:rsidRPr="00FB6A8D">
        <w:rPr>
          <w:sz w:val="24"/>
          <w:szCs w:val="24"/>
        </w:rPr>
        <w:t>– maksymalna głębokość drzewa, ograniczająca jego złożoność,</w:t>
      </w:r>
    </w:p>
    <w:p w14:paraId="60D3F60C" w14:textId="209A860E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min_samples_split</w:t>
      </w:r>
      <w:proofErr w:type="spellEnd"/>
      <w:r w:rsidRPr="00FB6A8D">
        <w:t xml:space="preserve"> </w:t>
      </w:r>
      <w:r w:rsidR="00440A5E" w:rsidRPr="00FB6A8D">
        <w:t xml:space="preserve">(2) </w:t>
      </w:r>
      <w:r w:rsidRPr="00FB6A8D">
        <w:rPr>
          <w:sz w:val="24"/>
          <w:szCs w:val="24"/>
        </w:rPr>
        <w:t>– minimalna liczba próbek potrzebna do rozdzielenia węzła,</w:t>
      </w:r>
    </w:p>
    <w:p w14:paraId="3E93217F" w14:textId="7D896AF4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min_samples_leaf</w:t>
      </w:r>
      <w:proofErr w:type="spellEnd"/>
      <w:r w:rsidRPr="00FB6A8D">
        <w:t xml:space="preserve"> </w:t>
      </w:r>
      <w:r w:rsidR="00440A5E" w:rsidRPr="00FB6A8D">
        <w:t xml:space="preserve">(1) </w:t>
      </w:r>
      <w:r w:rsidRPr="00FB6A8D">
        <w:rPr>
          <w:sz w:val="24"/>
          <w:szCs w:val="24"/>
        </w:rPr>
        <w:t>– minimalna liczba próbek w liściu drzewa,</w:t>
      </w:r>
    </w:p>
    <w:p w14:paraId="2D78D7A2" w14:textId="5EB63787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max_leaf_nodes</w:t>
      </w:r>
      <w:proofErr w:type="spellEnd"/>
      <w:r w:rsidRPr="00FB6A8D">
        <w:t xml:space="preserve"> </w:t>
      </w:r>
      <w:r w:rsidR="00440A5E" w:rsidRPr="00FB6A8D">
        <w:t xml:space="preserve">(None) </w:t>
      </w:r>
      <w:r w:rsidRPr="00FB6A8D">
        <w:rPr>
          <w:sz w:val="24"/>
          <w:szCs w:val="24"/>
        </w:rPr>
        <w:t>– maksymalna liczba liści,</w:t>
      </w:r>
    </w:p>
    <w:p w14:paraId="0FF53B2B" w14:textId="087472A2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criterion</w:t>
      </w:r>
      <w:proofErr w:type="spellEnd"/>
      <w:r w:rsidRPr="00FB6A8D">
        <w:t xml:space="preserve"> </w:t>
      </w:r>
      <w:r w:rsidR="00440A5E" w:rsidRPr="00FB6A8D">
        <w:t>(</w:t>
      </w:r>
      <w:proofErr w:type="spellStart"/>
      <w:r w:rsidR="00440A5E" w:rsidRPr="00FB6A8D">
        <w:t>gini</w:t>
      </w:r>
      <w:proofErr w:type="spellEnd"/>
      <w:r w:rsidR="00440A5E" w:rsidRPr="00FB6A8D">
        <w:t xml:space="preserve">) </w:t>
      </w:r>
      <w:r w:rsidRPr="00FB6A8D">
        <w:rPr>
          <w:sz w:val="24"/>
          <w:szCs w:val="24"/>
        </w:rPr>
        <w:t>– funkcja oceny podziału (</w:t>
      </w:r>
      <w:proofErr w:type="spellStart"/>
      <w:r w:rsidRPr="00FB6A8D">
        <w:rPr>
          <w:sz w:val="24"/>
          <w:szCs w:val="24"/>
        </w:rPr>
        <w:t>gini</w:t>
      </w:r>
      <w:proofErr w:type="spellEnd"/>
      <w:r w:rsidRPr="00FB6A8D">
        <w:rPr>
          <w:sz w:val="24"/>
          <w:szCs w:val="24"/>
        </w:rPr>
        <w:t xml:space="preserve"> lub </w:t>
      </w:r>
      <w:proofErr w:type="spellStart"/>
      <w:r w:rsidRPr="00FB6A8D">
        <w:rPr>
          <w:sz w:val="24"/>
          <w:szCs w:val="24"/>
        </w:rPr>
        <w:t>entropy</w:t>
      </w:r>
      <w:proofErr w:type="spellEnd"/>
      <w:r w:rsidRPr="00FB6A8D">
        <w:rPr>
          <w:sz w:val="24"/>
          <w:szCs w:val="24"/>
        </w:rPr>
        <w:t>),</w:t>
      </w:r>
    </w:p>
    <w:p w14:paraId="4DEBA7E1" w14:textId="279EDB05" w:rsidR="008E2A48" w:rsidRPr="00FB6A8D" w:rsidRDefault="008E2A48" w:rsidP="008E2A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splitter</w:t>
      </w:r>
      <w:proofErr w:type="spellEnd"/>
      <w:r w:rsidRPr="00FB6A8D">
        <w:rPr>
          <w:sz w:val="24"/>
          <w:szCs w:val="24"/>
        </w:rPr>
        <w:t xml:space="preserve"> </w:t>
      </w:r>
      <w:r w:rsidR="00440A5E" w:rsidRPr="00FB6A8D">
        <w:rPr>
          <w:sz w:val="24"/>
          <w:szCs w:val="24"/>
        </w:rPr>
        <w:t>(</w:t>
      </w:r>
      <w:proofErr w:type="spellStart"/>
      <w:r w:rsidR="00440A5E" w:rsidRPr="00FB6A8D">
        <w:rPr>
          <w:sz w:val="24"/>
          <w:szCs w:val="24"/>
        </w:rPr>
        <w:t>best</w:t>
      </w:r>
      <w:proofErr w:type="spellEnd"/>
      <w:r w:rsidR="00440A5E" w:rsidRPr="00FB6A8D">
        <w:rPr>
          <w:sz w:val="24"/>
          <w:szCs w:val="24"/>
        </w:rPr>
        <w:t xml:space="preserve">) </w:t>
      </w:r>
      <w:r w:rsidRPr="00FB6A8D">
        <w:rPr>
          <w:sz w:val="24"/>
          <w:szCs w:val="24"/>
        </w:rPr>
        <w:t>– strategia wyboru podziału (</w:t>
      </w:r>
      <w:proofErr w:type="spellStart"/>
      <w:r w:rsidRPr="00FB6A8D">
        <w:rPr>
          <w:sz w:val="24"/>
          <w:szCs w:val="24"/>
        </w:rPr>
        <w:t>best</w:t>
      </w:r>
      <w:proofErr w:type="spellEnd"/>
      <w:r w:rsidRPr="00FB6A8D">
        <w:rPr>
          <w:sz w:val="24"/>
          <w:szCs w:val="24"/>
        </w:rPr>
        <w:t xml:space="preserve"> lub </w:t>
      </w:r>
      <w:proofErr w:type="spellStart"/>
      <w:r w:rsidRPr="00FB6A8D">
        <w:rPr>
          <w:sz w:val="24"/>
          <w:szCs w:val="24"/>
        </w:rPr>
        <w:t>random</w:t>
      </w:r>
      <w:proofErr w:type="spellEnd"/>
      <w:r w:rsidRPr="00FB6A8D">
        <w:rPr>
          <w:sz w:val="24"/>
          <w:szCs w:val="24"/>
        </w:rPr>
        <w:t>),</w:t>
      </w:r>
    </w:p>
    <w:p w14:paraId="372ACA20" w14:textId="5059FDC6" w:rsidR="008E2A48" w:rsidRPr="00FB6A8D" w:rsidRDefault="008E2A48" w:rsidP="00825A7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B6A8D">
        <w:rPr>
          <w:rFonts w:ascii="Consolas" w:hAnsi="Consolas"/>
          <w:b/>
          <w:bCs/>
        </w:rPr>
        <w:t>max_features</w:t>
      </w:r>
      <w:proofErr w:type="spellEnd"/>
      <w:r w:rsidRPr="00FB6A8D">
        <w:t xml:space="preserve"> </w:t>
      </w:r>
      <w:r w:rsidR="0050422F" w:rsidRPr="00FB6A8D">
        <w:t xml:space="preserve">(None) </w:t>
      </w:r>
      <w:r w:rsidRPr="00FB6A8D">
        <w:rPr>
          <w:sz w:val="24"/>
          <w:szCs w:val="24"/>
        </w:rPr>
        <w:t>– liczba cech brana pod uwagę przy każdym podziale.</w:t>
      </w:r>
    </w:p>
    <w:p w14:paraId="6BFD7504" w14:textId="39B870B5" w:rsidR="003E4459" w:rsidRPr="00FB6A8D" w:rsidRDefault="003E4459" w:rsidP="003E4459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W projekcie zachowano wyraźny podział pomiędzy fazą trenowania modelu a fazą klasyfikacji danych testowych. Proces uczenia realizowany jest po wywołaniu komendy </w:t>
      </w:r>
      <w:proofErr w:type="spellStart"/>
      <w:r w:rsidRPr="00FB6A8D">
        <w:rPr>
          <w:rFonts w:ascii="Consolas" w:hAnsi="Consolas"/>
          <w:b/>
          <w:bCs/>
        </w:rPr>
        <w:t>train</w:t>
      </w:r>
      <w:proofErr w:type="spellEnd"/>
      <w:r w:rsidRPr="00FB6A8D">
        <w:rPr>
          <w:sz w:val="24"/>
          <w:szCs w:val="24"/>
        </w:rPr>
        <w:t xml:space="preserve"> i skutkuje zapisaniem wytrenowanego modelu do pliku </w:t>
      </w:r>
      <w:r w:rsidRPr="00FB6A8D">
        <w:rPr>
          <w:rFonts w:ascii="Consolas" w:hAnsi="Consolas"/>
          <w:b/>
          <w:bCs/>
        </w:rPr>
        <w:t>.</w:t>
      </w:r>
      <w:proofErr w:type="spellStart"/>
      <w:r w:rsidRPr="00FB6A8D">
        <w:rPr>
          <w:rFonts w:ascii="Consolas" w:hAnsi="Consolas"/>
          <w:b/>
          <w:bCs/>
        </w:rPr>
        <w:t>pkl</w:t>
      </w:r>
      <w:proofErr w:type="spellEnd"/>
      <w:r w:rsidRPr="00FB6A8D">
        <w:rPr>
          <w:sz w:val="24"/>
          <w:szCs w:val="24"/>
        </w:rPr>
        <w:t xml:space="preserve"> przy użyciu mechanizmu serializacji (</w:t>
      </w:r>
      <w:proofErr w:type="spellStart"/>
      <w:r w:rsidRPr="00FB6A8D">
        <w:rPr>
          <w:sz w:val="24"/>
          <w:szCs w:val="24"/>
        </w:rPr>
        <w:t>pickle</w:t>
      </w:r>
      <w:proofErr w:type="spellEnd"/>
      <w:r w:rsidRPr="00FB6A8D">
        <w:rPr>
          <w:sz w:val="24"/>
          <w:szCs w:val="24"/>
        </w:rPr>
        <w:t>)</w:t>
      </w:r>
      <w:r w:rsidR="00385219" w:rsidRPr="00FB6A8D">
        <w:rPr>
          <w:sz w:val="24"/>
          <w:szCs w:val="24"/>
        </w:rPr>
        <w:t>.</w:t>
      </w:r>
    </w:p>
    <w:p w14:paraId="71A69A57" w14:textId="59A1017E" w:rsidR="00385219" w:rsidRPr="00FB6A8D" w:rsidRDefault="00385219" w:rsidP="003E4459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Model ten może być później niezależnie załadowany i użyty do klasyfikacji nowych danych za pomocą komendy </w:t>
      </w:r>
      <w:proofErr w:type="spellStart"/>
      <w:r w:rsidRPr="00FB6A8D">
        <w:rPr>
          <w:rFonts w:ascii="Consolas" w:hAnsi="Consolas"/>
          <w:b/>
          <w:bCs/>
        </w:rPr>
        <w:t>classify</w:t>
      </w:r>
      <w:proofErr w:type="spellEnd"/>
      <w:r w:rsidRPr="00FB6A8D">
        <w:rPr>
          <w:sz w:val="24"/>
          <w:szCs w:val="24"/>
        </w:rPr>
        <w:t>. Umożliwia to oddzielenie potencjalnie czasochłonnego procesu uczenia od procesu predykcji.</w:t>
      </w:r>
      <w:r w:rsidR="00C42002" w:rsidRPr="00FB6A8D">
        <w:rPr>
          <w:sz w:val="24"/>
          <w:szCs w:val="24"/>
        </w:rPr>
        <w:t xml:space="preserve"> Istnieje możliwość zapisania wyników klasyfikacji do pliku .</w:t>
      </w:r>
      <w:proofErr w:type="spellStart"/>
      <w:r w:rsidR="00C42002" w:rsidRPr="00FB6A8D">
        <w:rPr>
          <w:sz w:val="24"/>
          <w:szCs w:val="24"/>
        </w:rPr>
        <w:t>csv</w:t>
      </w:r>
      <w:proofErr w:type="spellEnd"/>
      <w:r w:rsidR="00C42002" w:rsidRPr="00FB6A8D">
        <w:rPr>
          <w:sz w:val="24"/>
          <w:szCs w:val="24"/>
        </w:rPr>
        <w:t xml:space="preserve">, który zawiera </w:t>
      </w:r>
      <w:r w:rsidR="00B718A1" w:rsidRPr="00FB6A8D">
        <w:rPr>
          <w:sz w:val="24"/>
          <w:szCs w:val="24"/>
        </w:rPr>
        <w:t xml:space="preserve">wszystkie wiersze oraz kolumny źródłowego zestawu danych, oraz dodatkową kolumnę, zawierającą </w:t>
      </w:r>
      <w:r w:rsidR="001D7D36" w:rsidRPr="00FB6A8D">
        <w:rPr>
          <w:sz w:val="24"/>
          <w:szCs w:val="24"/>
        </w:rPr>
        <w:t xml:space="preserve">przewidzianą </w:t>
      </w:r>
      <w:r w:rsidR="002D3094" w:rsidRPr="00FB6A8D">
        <w:rPr>
          <w:sz w:val="24"/>
          <w:szCs w:val="24"/>
        </w:rPr>
        <w:t xml:space="preserve">klasyfikację danego wiersza. </w:t>
      </w:r>
    </w:p>
    <w:p w14:paraId="2DFCEB1A" w14:textId="2598E111" w:rsidR="00F76445" w:rsidRPr="00FB6A8D" w:rsidRDefault="00F76445" w:rsidP="00F76445">
      <w:pPr>
        <w:pStyle w:val="Heading1"/>
        <w:jc w:val="center"/>
      </w:pPr>
      <w:r w:rsidRPr="00FB6A8D">
        <w:lastRenderedPageBreak/>
        <w:t>Porównanie oraz analiza wyników</w:t>
      </w:r>
    </w:p>
    <w:p w14:paraId="3F687459" w14:textId="5D5CC7BD" w:rsidR="0007602E" w:rsidRPr="00FB6A8D" w:rsidRDefault="00D117D4" w:rsidP="00D13C89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Poniżej przedstawiono macierz eksperymentów</w:t>
      </w:r>
      <w:r w:rsidR="00197944" w:rsidRPr="00FB6A8D">
        <w:rPr>
          <w:sz w:val="24"/>
          <w:szCs w:val="24"/>
        </w:rPr>
        <w:t xml:space="preserve"> wraz z wynikami klasyfikacji</w:t>
      </w:r>
      <w:r w:rsidRPr="00FB6A8D">
        <w:rPr>
          <w:sz w:val="24"/>
          <w:szCs w:val="24"/>
        </w:rPr>
        <w:t xml:space="preserve">. Każdy wiersz odpowiada jednemu wytrenowanemu modelowi, który jest scharakteryzowany przez </w:t>
      </w:r>
      <w:r w:rsidR="00D13C89" w:rsidRPr="00FB6A8D">
        <w:rPr>
          <w:sz w:val="24"/>
          <w:szCs w:val="24"/>
        </w:rPr>
        <w:t>swój typ, swoje</w:t>
      </w:r>
      <w:r w:rsidRPr="00FB6A8D">
        <w:rPr>
          <w:sz w:val="24"/>
          <w:szCs w:val="24"/>
        </w:rPr>
        <w:t xml:space="preserve"> </w:t>
      </w:r>
      <w:proofErr w:type="spellStart"/>
      <w:r w:rsidRPr="00FB6A8D">
        <w:rPr>
          <w:sz w:val="24"/>
          <w:szCs w:val="24"/>
        </w:rPr>
        <w:t>hiperparametry</w:t>
      </w:r>
      <w:proofErr w:type="spellEnd"/>
      <w:r w:rsidR="00D13C89" w:rsidRPr="00FB6A8D">
        <w:rPr>
          <w:sz w:val="24"/>
          <w:szCs w:val="24"/>
        </w:rPr>
        <w:t xml:space="preserve"> oraz </w:t>
      </w:r>
      <w:r w:rsidRPr="00FB6A8D">
        <w:rPr>
          <w:sz w:val="24"/>
          <w:szCs w:val="24"/>
        </w:rPr>
        <w:t xml:space="preserve">ustawienia </w:t>
      </w:r>
      <w:r w:rsidR="00D13C89" w:rsidRPr="00FB6A8D">
        <w:rPr>
          <w:sz w:val="24"/>
          <w:szCs w:val="24"/>
        </w:rPr>
        <w:t>dla przetwarzania danych wejściowych</w:t>
      </w:r>
      <w:r w:rsidR="00197944" w:rsidRPr="00FB6A8D">
        <w:rPr>
          <w:sz w:val="24"/>
          <w:szCs w:val="24"/>
        </w:rPr>
        <w:t>:</w:t>
      </w:r>
    </w:p>
    <w:p w14:paraId="3CF15029" w14:textId="5FC9EBFC" w:rsidR="00E8552B" w:rsidRPr="00FB6A8D" w:rsidRDefault="00E8552B" w:rsidP="00E8552B">
      <w:pPr>
        <w:pStyle w:val="Caption"/>
        <w:keepNext/>
        <w:jc w:val="center"/>
      </w:pPr>
      <w:r w:rsidRPr="00FB6A8D">
        <w:t xml:space="preserve">Tabela </w:t>
      </w:r>
      <w:r w:rsidRPr="00FB6A8D">
        <w:fldChar w:fldCharType="begin"/>
      </w:r>
      <w:r w:rsidRPr="00FB6A8D">
        <w:instrText xml:space="preserve"> SEQ Table \* ARABIC </w:instrText>
      </w:r>
      <w:r w:rsidRPr="00FB6A8D">
        <w:fldChar w:fldCharType="separate"/>
      </w:r>
      <w:r w:rsidRPr="00FB6A8D">
        <w:t>6</w:t>
      </w:r>
      <w:r w:rsidRPr="00FB6A8D">
        <w:fldChar w:fldCharType="end"/>
      </w:r>
      <w:r w:rsidRPr="00FB6A8D">
        <w:t xml:space="preserve"> – Wyniki eksperymentów</w:t>
      </w:r>
    </w:p>
    <w:tbl>
      <w:tblPr>
        <w:tblW w:w="11587" w:type="dxa"/>
        <w:tblInd w:w="-1296" w:type="dxa"/>
        <w:tblLook w:val="04A0" w:firstRow="1" w:lastRow="0" w:firstColumn="1" w:lastColumn="0" w:noHBand="0" w:noVBand="1"/>
      </w:tblPr>
      <w:tblGrid>
        <w:gridCol w:w="956"/>
        <w:gridCol w:w="1360"/>
        <w:gridCol w:w="1081"/>
        <w:gridCol w:w="1350"/>
        <w:gridCol w:w="630"/>
        <w:gridCol w:w="3060"/>
        <w:gridCol w:w="810"/>
        <w:gridCol w:w="800"/>
        <w:gridCol w:w="730"/>
        <w:gridCol w:w="810"/>
      </w:tblGrid>
      <w:tr w:rsidR="00197944" w:rsidRPr="00FB6A8D" w14:paraId="6F279DBE" w14:textId="77777777" w:rsidTr="00BC602A">
        <w:trPr>
          <w:trHeight w:val="305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E528A9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F9BFCD4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E3F246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Submodel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764B05B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Scaler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CCE4F3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1C23870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Hyperparams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2FC0EC2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Accuracy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ACEFBD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Precision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1A17A3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Recall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ADA98E0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F1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Score</w:t>
            </w:r>
            <w:proofErr w:type="spellEnd"/>
          </w:p>
        </w:tc>
      </w:tr>
      <w:tr w:rsidR="00197944" w:rsidRPr="00FB6A8D" w14:paraId="0450D582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DDB701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6681C1D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30B64B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Gaussian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724AF8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(None)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56FAEF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897B4B6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smoothing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1e-8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EFC7D6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0.5399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7650AEE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0.5895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A610CD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0.5399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835D59E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0.5519</w:t>
            </w:r>
          </w:p>
        </w:tc>
      </w:tr>
      <w:tr w:rsidR="00197944" w:rsidRPr="00FB6A8D" w14:paraId="29EF31DA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C1B9E2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A8F851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EF21A1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Gaussian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8E02141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Standardization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9686AD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5D89F96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smoothing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1e-9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26F2EA2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0.6315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E5CE15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0.7227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C3D439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0.6315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557875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0.6428</w:t>
            </w:r>
          </w:p>
        </w:tc>
      </w:tr>
      <w:tr w:rsidR="00197944" w:rsidRPr="00FB6A8D" w14:paraId="50281F2B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858429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NB1N40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CFFCF95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CCB657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Gaussian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2005401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1A39909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C32ACA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smoothing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1e-9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F179B2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7A8F2E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0.6174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77A59F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0.6005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BD9088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0.6044</w:t>
            </w:r>
          </w:p>
        </w:tc>
      </w:tr>
      <w:tr w:rsidR="00197944" w:rsidRPr="00FB6A8D" w14:paraId="578F0924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E409A73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NB1N10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F7201D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3BDB40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Gaussian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FB0546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AA391F2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022BB2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smoothing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1e-9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F733AB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0.5915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29F322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0.6053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053CF32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0.5915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A408084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0.592</w:t>
            </w:r>
          </w:p>
        </w:tc>
      </w:tr>
      <w:tr w:rsidR="00197944" w:rsidRPr="00FB6A8D" w14:paraId="10D2F51C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55E84F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NB1N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61FDE3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F9D69D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Gaussian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4F2CA0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13D55E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91411F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smoothing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1e-9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203302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0.6174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F5AA58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0.6354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38C7F46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0.6174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FFB901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0.6206</w:t>
            </w:r>
          </w:p>
        </w:tc>
      </w:tr>
      <w:tr w:rsidR="00197944" w:rsidRPr="00FB6A8D" w14:paraId="7D992311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811DC3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NB2N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03AB1F4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6C9B46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Multinomial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31AE0A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92975E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69E10B1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alpha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8F318F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0.2676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1126EB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0.0721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B2E1CE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0.2676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3187DA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0.1136</w:t>
            </w:r>
          </w:p>
        </w:tc>
      </w:tr>
      <w:tr w:rsidR="00197944" w:rsidRPr="00FB6A8D" w14:paraId="7F1E5785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6E3343D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NB3N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5580C1D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Naive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-Bayes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DD56311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Bernoulli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E46554D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B43217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966EE4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alpha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0.5 --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binarize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CCFE7CA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0.4272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EFC33F4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0.3028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C621659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0.4272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A000DC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0.3389</w:t>
            </w:r>
          </w:p>
        </w:tc>
      </w:tr>
      <w:tr w:rsidR="00197944" w:rsidRPr="00FB6A8D" w14:paraId="3C4CF91B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A1098A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DT1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9BD2AF0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Decision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Tree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9" w:type="dxa"/>
              <w:right w:w="29" w:type="dxa"/>
            </w:tcMar>
            <w:vAlign w:val="bottom"/>
            <w:hideMark/>
          </w:tcPr>
          <w:p w14:paraId="69252515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10C860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(None)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87F580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860939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max_depth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5 --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min_samples_split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4 --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gini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C0B6858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CAEB2F0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0.7343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513792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71BB07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0.7275</w:t>
            </w:r>
          </w:p>
        </w:tc>
      </w:tr>
      <w:tr w:rsidR="00197944" w:rsidRPr="00FB6A8D" w14:paraId="15B97CCD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FFD45A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DT1S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2668830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Decision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Tree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9" w:type="dxa"/>
              <w:right w:w="29" w:type="dxa"/>
            </w:tcMar>
            <w:vAlign w:val="bottom"/>
            <w:hideMark/>
          </w:tcPr>
          <w:p w14:paraId="128375F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851B7CF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Standardization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2055EA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30E3B4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max_depth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5 --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min_samples_split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4 --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gini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40545F2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19593A5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F20FFBE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0.7394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FFFDC7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0.7273</w:t>
            </w:r>
          </w:p>
        </w:tc>
      </w:tr>
      <w:tr w:rsidR="00197944" w:rsidRPr="00FB6A8D" w14:paraId="39D5C51C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7F5878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DT1N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15D5C0C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Decision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Tree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9" w:type="dxa"/>
              <w:right w:w="29" w:type="dxa"/>
            </w:tcMar>
            <w:vAlign w:val="bottom"/>
            <w:hideMark/>
          </w:tcPr>
          <w:p w14:paraId="25A12AED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2F8959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58FDDB6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B393B66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max_depth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5 --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min_samples_split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4 --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gini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DA89F4E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0.7113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8F458DE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0.6849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101F4D8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0.7113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31AE52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0.6937</w:t>
            </w:r>
          </w:p>
        </w:tc>
      </w:tr>
      <w:tr w:rsidR="00197944" w:rsidRPr="00FB6A8D" w14:paraId="43B26113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8F7A900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DT2N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01B5013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Decision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Tree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9" w:type="dxa"/>
              <w:right w:w="29" w:type="dxa"/>
            </w:tcMar>
            <w:vAlign w:val="bottom"/>
            <w:hideMark/>
          </w:tcPr>
          <w:p w14:paraId="22DBB20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149C189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5927C6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3FBC9C1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max_depth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10 --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min_samples_leaf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3 --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entropy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41BD228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0.6995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FE27EC5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0.7021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F260A5A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0.6995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1682723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0.6953</w:t>
            </w:r>
          </w:p>
        </w:tc>
      </w:tr>
      <w:tr w:rsidR="00197944" w:rsidRPr="00FB6A8D" w14:paraId="395057B3" w14:textId="77777777" w:rsidTr="00BC602A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2D42FD61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DT3N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DFF4628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Decision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Tree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left w:w="29" w:type="dxa"/>
              <w:right w:w="29" w:type="dxa"/>
            </w:tcMar>
            <w:vAlign w:val="bottom"/>
            <w:hideMark/>
          </w:tcPr>
          <w:p w14:paraId="45335727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DA35F4A" w14:textId="77777777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Normalization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F8B77D7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04816AC5" w14:textId="08B764F1" w:rsidR="00197944" w:rsidRPr="00197944" w:rsidRDefault="00197944" w:rsidP="001979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max_leaf_nodes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20 --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min_samples_split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2 --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gini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BC602A" w:rsidRPr="00FB6A8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  <w:proofErr w:type="spellEnd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73E9BE1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0.6526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92F415D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0.6084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54EB7D1A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0.6526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9" w:type="dxa"/>
              <w:right w:w="29" w:type="dxa"/>
            </w:tcMar>
            <w:vAlign w:val="bottom"/>
            <w:hideMark/>
          </w:tcPr>
          <w:p w14:paraId="692B32FF" w14:textId="77777777" w:rsidR="00197944" w:rsidRPr="00197944" w:rsidRDefault="00197944" w:rsidP="001979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794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0.6137</w:t>
            </w:r>
          </w:p>
        </w:tc>
      </w:tr>
    </w:tbl>
    <w:p w14:paraId="5F039145" w14:textId="77777777" w:rsidR="00197944" w:rsidRPr="00FB6A8D" w:rsidRDefault="00197944" w:rsidP="00D13C89">
      <w:pPr>
        <w:jc w:val="both"/>
        <w:rPr>
          <w:sz w:val="24"/>
          <w:szCs w:val="24"/>
        </w:rPr>
      </w:pPr>
    </w:p>
    <w:p w14:paraId="20674A83" w14:textId="44772090" w:rsidR="00E8552B" w:rsidRPr="00FB6A8D" w:rsidRDefault="008A1C94" w:rsidP="008A1C94">
      <w:pPr>
        <w:pStyle w:val="Heading2"/>
      </w:pPr>
      <w:proofErr w:type="spellStart"/>
      <w:r w:rsidRPr="00FB6A8D">
        <w:t>Naive</w:t>
      </w:r>
      <w:proofErr w:type="spellEnd"/>
      <w:r w:rsidRPr="00FB6A8D">
        <w:t>-Bayes</w:t>
      </w:r>
    </w:p>
    <w:p w14:paraId="13576567" w14:textId="77777777" w:rsidR="00B92431" w:rsidRPr="00B92431" w:rsidRDefault="00B92431" w:rsidP="00B92431">
      <w:pPr>
        <w:jc w:val="both"/>
        <w:rPr>
          <w:sz w:val="24"/>
          <w:szCs w:val="24"/>
        </w:rPr>
      </w:pPr>
      <w:r w:rsidRPr="00B92431">
        <w:rPr>
          <w:sz w:val="24"/>
          <w:szCs w:val="24"/>
        </w:rPr>
        <w:t xml:space="preserve">W przypadku klasyfikatora </w:t>
      </w:r>
      <w:proofErr w:type="spellStart"/>
      <w:r w:rsidRPr="00B92431">
        <w:rPr>
          <w:sz w:val="24"/>
          <w:szCs w:val="24"/>
        </w:rPr>
        <w:t>Naive</w:t>
      </w:r>
      <w:proofErr w:type="spellEnd"/>
      <w:r w:rsidRPr="00B92431">
        <w:rPr>
          <w:sz w:val="24"/>
          <w:szCs w:val="24"/>
        </w:rPr>
        <w:t xml:space="preserve"> Bayes, najlepsze wyniki uzyskano dla wariantu </w:t>
      </w:r>
      <w:proofErr w:type="spellStart"/>
      <w:r w:rsidRPr="00B92431">
        <w:rPr>
          <w:sz w:val="24"/>
          <w:szCs w:val="24"/>
        </w:rPr>
        <w:t>Gaussian</w:t>
      </w:r>
      <w:proofErr w:type="spellEnd"/>
      <w:r w:rsidRPr="00B92431">
        <w:rPr>
          <w:sz w:val="24"/>
          <w:szCs w:val="24"/>
        </w:rPr>
        <w:t xml:space="preserve"> z zastosowaniem standaryzacji cech (</w:t>
      </w:r>
      <w:r w:rsidRPr="00B92431">
        <w:rPr>
          <w:rFonts w:ascii="Consolas" w:hAnsi="Consolas"/>
          <w:b/>
          <w:bCs/>
          <w:sz w:val="24"/>
          <w:szCs w:val="24"/>
        </w:rPr>
        <w:t>NB1S</w:t>
      </w:r>
      <w:r w:rsidRPr="00B92431">
        <w:rPr>
          <w:sz w:val="24"/>
          <w:szCs w:val="24"/>
        </w:rPr>
        <w:t xml:space="preserve">). Osiągnął on </w:t>
      </w:r>
      <w:proofErr w:type="spellStart"/>
      <w:r w:rsidRPr="00B92431">
        <w:rPr>
          <w:sz w:val="24"/>
          <w:szCs w:val="24"/>
        </w:rPr>
        <w:t>accuracy</w:t>
      </w:r>
      <w:proofErr w:type="spellEnd"/>
      <w:r w:rsidRPr="00B92431">
        <w:rPr>
          <w:sz w:val="24"/>
          <w:szCs w:val="24"/>
        </w:rPr>
        <w:t xml:space="preserve"> = 0.6315 oraz F1-score = 0.6428, co stanowi znaczną poprawę względem wariantu bez przetwarzania (</w:t>
      </w:r>
      <w:r w:rsidRPr="00B92431">
        <w:rPr>
          <w:rFonts w:ascii="Consolas" w:hAnsi="Consolas"/>
          <w:b/>
          <w:bCs/>
          <w:sz w:val="24"/>
          <w:szCs w:val="24"/>
        </w:rPr>
        <w:t>NB1</w:t>
      </w:r>
      <w:r w:rsidRPr="00B92431">
        <w:rPr>
          <w:sz w:val="24"/>
          <w:szCs w:val="24"/>
        </w:rPr>
        <w:t xml:space="preserve">: 0.5399 / 0.5519). Użycie normalizacji również przyniosło lepsze rezultaty niż brak przetwarzania – wariant </w:t>
      </w:r>
      <w:r w:rsidRPr="00B92431">
        <w:rPr>
          <w:rFonts w:ascii="Consolas" w:hAnsi="Consolas"/>
          <w:b/>
          <w:bCs/>
          <w:sz w:val="24"/>
          <w:szCs w:val="24"/>
        </w:rPr>
        <w:t>NB1N</w:t>
      </w:r>
      <w:r w:rsidRPr="00B92431">
        <w:rPr>
          <w:sz w:val="24"/>
          <w:szCs w:val="24"/>
        </w:rPr>
        <w:t xml:space="preserve"> osiągnął F1-score = 0.6206, przy </w:t>
      </w:r>
      <w:proofErr w:type="spellStart"/>
      <w:r w:rsidRPr="00B92431">
        <w:rPr>
          <w:sz w:val="24"/>
          <w:szCs w:val="24"/>
        </w:rPr>
        <w:t>accuracy</w:t>
      </w:r>
      <w:proofErr w:type="spellEnd"/>
      <w:r w:rsidRPr="00B92431">
        <w:rPr>
          <w:sz w:val="24"/>
          <w:szCs w:val="24"/>
        </w:rPr>
        <w:t xml:space="preserve"> = 0.6174. Analiza wariantów z różnymi proporcjami zbioru testowego (</w:t>
      </w:r>
      <w:r w:rsidRPr="00B92431">
        <w:rPr>
          <w:rFonts w:ascii="Consolas" w:hAnsi="Consolas"/>
          <w:b/>
          <w:bCs/>
          <w:sz w:val="24"/>
          <w:szCs w:val="24"/>
        </w:rPr>
        <w:t>NB1N10</w:t>
      </w:r>
      <w:r w:rsidRPr="00B92431">
        <w:rPr>
          <w:sz w:val="24"/>
          <w:szCs w:val="24"/>
        </w:rPr>
        <w:t xml:space="preserve">, </w:t>
      </w:r>
      <w:r w:rsidRPr="00B92431">
        <w:rPr>
          <w:rFonts w:ascii="Consolas" w:hAnsi="Consolas"/>
          <w:b/>
          <w:bCs/>
          <w:sz w:val="24"/>
          <w:szCs w:val="24"/>
        </w:rPr>
        <w:t>NB1N40</w:t>
      </w:r>
      <w:r w:rsidRPr="00B92431">
        <w:rPr>
          <w:sz w:val="24"/>
          <w:szCs w:val="24"/>
        </w:rPr>
        <w:t>) wykazała, że zarówno zbyt mała (0.1), jak i zbyt duża (0.4) proporcja testowa może nieco pogorszyć wyniki względem ustawienia domyślnego 0.2.</w:t>
      </w:r>
    </w:p>
    <w:p w14:paraId="1AD9DD0A" w14:textId="77777777" w:rsidR="00B92431" w:rsidRPr="00B92431" w:rsidRDefault="00B92431" w:rsidP="00B92431">
      <w:pPr>
        <w:jc w:val="both"/>
        <w:rPr>
          <w:sz w:val="24"/>
          <w:szCs w:val="24"/>
        </w:rPr>
      </w:pPr>
      <w:r w:rsidRPr="00B92431">
        <w:rPr>
          <w:sz w:val="24"/>
          <w:szCs w:val="24"/>
        </w:rPr>
        <w:t xml:space="preserve">Warianty </w:t>
      </w:r>
      <w:proofErr w:type="spellStart"/>
      <w:r w:rsidRPr="00B92431">
        <w:rPr>
          <w:sz w:val="24"/>
          <w:szCs w:val="24"/>
        </w:rPr>
        <w:t>Multinomial</w:t>
      </w:r>
      <w:proofErr w:type="spellEnd"/>
      <w:r w:rsidRPr="00B92431">
        <w:rPr>
          <w:sz w:val="24"/>
          <w:szCs w:val="24"/>
        </w:rPr>
        <w:t xml:space="preserve"> (</w:t>
      </w:r>
      <w:r w:rsidRPr="00B92431">
        <w:rPr>
          <w:rFonts w:ascii="Consolas" w:hAnsi="Consolas"/>
          <w:b/>
          <w:bCs/>
          <w:sz w:val="24"/>
          <w:szCs w:val="24"/>
        </w:rPr>
        <w:t>NB2N</w:t>
      </w:r>
      <w:r w:rsidRPr="00B92431">
        <w:rPr>
          <w:sz w:val="24"/>
          <w:szCs w:val="24"/>
        </w:rPr>
        <w:t>) oraz Bernoulli (</w:t>
      </w:r>
      <w:r w:rsidRPr="00B92431">
        <w:rPr>
          <w:rFonts w:ascii="Consolas" w:hAnsi="Consolas"/>
          <w:b/>
          <w:bCs/>
          <w:sz w:val="24"/>
          <w:szCs w:val="24"/>
        </w:rPr>
        <w:t>NB3N</w:t>
      </w:r>
      <w:r w:rsidRPr="00B92431">
        <w:rPr>
          <w:sz w:val="24"/>
          <w:szCs w:val="24"/>
        </w:rPr>
        <w:t xml:space="preserve">) okazały się znacznie mniej skuteczne – szczególnie </w:t>
      </w:r>
      <w:r w:rsidRPr="00B92431">
        <w:rPr>
          <w:rFonts w:ascii="Consolas" w:hAnsi="Consolas"/>
          <w:b/>
          <w:bCs/>
          <w:sz w:val="24"/>
          <w:szCs w:val="24"/>
        </w:rPr>
        <w:t>NB2N</w:t>
      </w:r>
      <w:r w:rsidRPr="00B92431">
        <w:rPr>
          <w:sz w:val="24"/>
          <w:szCs w:val="24"/>
        </w:rPr>
        <w:t xml:space="preserve">, dla którego </w:t>
      </w:r>
      <w:proofErr w:type="spellStart"/>
      <w:r w:rsidRPr="00B92431">
        <w:rPr>
          <w:sz w:val="24"/>
          <w:szCs w:val="24"/>
        </w:rPr>
        <w:t>accuracy</w:t>
      </w:r>
      <w:proofErr w:type="spellEnd"/>
      <w:r w:rsidRPr="00B92431">
        <w:rPr>
          <w:sz w:val="24"/>
          <w:szCs w:val="24"/>
        </w:rPr>
        <w:t xml:space="preserve"> spadło do zaledwie 0.2676, a F1-score do 0.1136. Sugeruje to, że założenia rozkładu wielomianowego i binarnego nie są odpowiednie dla danych kardiotokograficznych, które są zmiennymi ciągłymi, a nie kategoriami lub </w:t>
      </w:r>
      <w:proofErr w:type="spellStart"/>
      <w:r w:rsidRPr="00B92431">
        <w:rPr>
          <w:sz w:val="24"/>
          <w:szCs w:val="24"/>
        </w:rPr>
        <w:t>binariami</w:t>
      </w:r>
      <w:proofErr w:type="spellEnd"/>
      <w:r w:rsidRPr="00B92431">
        <w:rPr>
          <w:sz w:val="24"/>
          <w:szCs w:val="24"/>
        </w:rPr>
        <w:t>.</w:t>
      </w:r>
    </w:p>
    <w:p w14:paraId="28BFEC71" w14:textId="77777777" w:rsidR="008A1C94" w:rsidRPr="00FB6A8D" w:rsidRDefault="008A1C94" w:rsidP="008A1C94"/>
    <w:p w14:paraId="63BA4A19" w14:textId="343E0F6B" w:rsidR="00D13C89" w:rsidRPr="00FB6A8D" w:rsidRDefault="00FB6A8D" w:rsidP="00FB6A8D">
      <w:pPr>
        <w:pStyle w:val="Heading2"/>
      </w:pPr>
      <w:r w:rsidRPr="00FB6A8D">
        <w:lastRenderedPageBreak/>
        <w:t>Drzewo decyzyjne</w:t>
      </w:r>
    </w:p>
    <w:p w14:paraId="591FAD43" w14:textId="77777777" w:rsidR="00FB6A8D" w:rsidRPr="00FB6A8D" w:rsidRDefault="00FB6A8D" w:rsidP="00FB6A8D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 xml:space="preserve">Drzewa decyzyjne wypadły znacznie lepiej niż </w:t>
      </w:r>
      <w:proofErr w:type="spellStart"/>
      <w:r w:rsidRPr="00FB6A8D">
        <w:rPr>
          <w:sz w:val="24"/>
          <w:szCs w:val="24"/>
        </w:rPr>
        <w:t>Naive</w:t>
      </w:r>
      <w:proofErr w:type="spellEnd"/>
      <w:r w:rsidRPr="00FB6A8D">
        <w:rPr>
          <w:sz w:val="24"/>
          <w:szCs w:val="24"/>
        </w:rPr>
        <w:t xml:space="preserve"> Bayes we wszystkich konfiguracjach. Najwyższą skuteczność uzyskano w wariantach </w:t>
      </w:r>
      <w:r w:rsidRPr="00FB6A8D">
        <w:rPr>
          <w:rFonts w:ascii="Consolas" w:hAnsi="Consolas"/>
          <w:b/>
          <w:bCs/>
        </w:rPr>
        <w:t>DT1</w:t>
      </w:r>
      <w:r w:rsidRPr="00FB6A8D">
        <w:rPr>
          <w:sz w:val="24"/>
          <w:szCs w:val="24"/>
        </w:rPr>
        <w:t xml:space="preserve"> i </w:t>
      </w:r>
      <w:r w:rsidRPr="00FB6A8D">
        <w:rPr>
          <w:rFonts w:ascii="Consolas" w:hAnsi="Consolas"/>
          <w:b/>
          <w:bCs/>
        </w:rPr>
        <w:t>DT1S</w:t>
      </w:r>
      <w:r w:rsidRPr="00FB6A8D">
        <w:rPr>
          <w:sz w:val="24"/>
          <w:szCs w:val="24"/>
        </w:rPr>
        <w:t xml:space="preserve">, które różnią się jedynie skalowaniem (odpowiednio: brak skalowania i standaryzacja). Oba osiągnęły </w:t>
      </w:r>
      <w:proofErr w:type="spellStart"/>
      <w:r w:rsidRPr="00FB6A8D">
        <w:rPr>
          <w:sz w:val="24"/>
          <w:szCs w:val="24"/>
        </w:rPr>
        <w:t>accuracy</w:t>
      </w:r>
      <w:proofErr w:type="spellEnd"/>
      <w:r w:rsidRPr="00FB6A8D">
        <w:rPr>
          <w:sz w:val="24"/>
          <w:szCs w:val="24"/>
        </w:rPr>
        <w:t xml:space="preserve"> = 0.7394 i F1-score ≈ 0.727, co wskazuje na stabilność działania modelu niezależnie od metody skalowania. Normalizacja danych (</w:t>
      </w:r>
      <w:r w:rsidRPr="00FB6A8D">
        <w:rPr>
          <w:rFonts w:ascii="Consolas" w:hAnsi="Consolas"/>
          <w:b/>
          <w:bCs/>
        </w:rPr>
        <w:t>DT1N</w:t>
      </w:r>
      <w:r w:rsidRPr="00FB6A8D">
        <w:rPr>
          <w:sz w:val="24"/>
          <w:szCs w:val="24"/>
        </w:rPr>
        <w:t>) wpłynęła nieco negatywnie na wyniki (F1-score = 0.6937), co może wynikać z tego, że drzewo decyzyjne nie wymaga standaryzacji ani normalizacji, ponieważ nie opiera się na odległościach, lecz na wartościach progowych.</w:t>
      </w:r>
    </w:p>
    <w:p w14:paraId="2F46BFCD" w14:textId="77777777" w:rsidR="00FB6A8D" w:rsidRPr="00FB6A8D" w:rsidRDefault="00FB6A8D" w:rsidP="00FB6A8D">
      <w:pPr>
        <w:jc w:val="both"/>
        <w:rPr>
          <w:sz w:val="24"/>
          <w:szCs w:val="24"/>
        </w:rPr>
      </w:pPr>
      <w:r w:rsidRPr="00FB6A8D">
        <w:rPr>
          <w:sz w:val="24"/>
          <w:szCs w:val="24"/>
        </w:rPr>
        <w:t>Pozostałe warianty drzewa (</w:t>
      </w:r>
      <w:r w:rsidRPr="00FB6A8D">
        <w:rPr>
          <w:rFonts w:ascii="Consolas" w:hAnsi="Consolas"/>
          <w:b/>
          <w:bCs/>
        </w:rPr>
        <w:t>DT2N</w:t>
      </w:r>
      <w:r w:rsidRPr="00FB6A8D">
        <w:rPr>
          <w:sz w:val="24"/>
          <w:szCs w:val="24"/>
        </w:rPr>
        <w:t xml:space="preserve"> i </w:t>
      </w:r>
      <w:r w:rsidRPr="00FB6A8D">
        <w:rPr>
          <w:rFonts w:ascii="Consolas" w:hAnsi="Consolas"/>
          <w:b/>
          <w:bCs/>
        </w:rPr>
        <w:t>DT3N</w:t>
      </w:r>
      <w:r w:rsidRPr="00FB6A8D">
        <w:rPr>
          <w:sz w:val="24"/>
          <w:szCs w:val="24"/>
        </w:rPr>
        <w:t xml:space="preserve">) różniły się głównie parametrami struktury drzewa. </w:t>
      </w:r>
      <w:r w:rsidRPr="00FB6A8D">
        <w:rPr>
          <w:rFonts w:ascii="Consolas" w:hAnsi="Consolas"/>
          <w:b/>
          <w:bCs/>
        </w:rPr>
        <w:t>DT2N</w:t>
      </w:r>
      <w:r w:rsidRPr="00FB6A8D">
        <w:rPr>
          <w:sz w:val="24"/>
          <w:szCs w:val="24"/>
        </w:rPr>
        <w:t xml:space="preserve">, wykorzystujące większą głębokość drzewa i entropię jako kryterium podziału, osiągnęło F1-score = 0.6953. </w:t>
      </w:r>
      <w:r w:rsidRPr="00FB6A8D">
        <w:rPr>
          <w:rFonts w:ascii="Consolas" w:hAnsi="Consolas"/>
          <w:b/>
          <w:bCs/>
        </w:rPr>
        <w:t>DT3N</w:t>
      </w:r>
      <w:r w:rsidRPr="00FB6A8D">
        <w:rPr>
          <w:sz w:val="24"/>
          <w:szCs w:val="24"/>
        </w:rPr>
        <w:t>, wykorzystujące losowy wybór podziałów i ograniczenie liczby liści, uzyskało nieco niższe wartości (F1 = 0.6137), co sugeruje pogorszenie uogólniania modelu na danych testowych.</w:t>
      </w:r>
    </w:p>
    <w:p w14:paraId="46242B99" w14:textId="426DD59A" w:rsidR="00FB6A8D" w:rsidRDefault="005A12E4" w:rsidP="005A12E4">
      <w:pPr>
        <w:pStyle w:val="Heading2"/>
      </w:pPr>
      <w:r>
        <w:t>Wnioski</w:t>
      </w:r>
    </w:p>
    <w:p w14:paraId="387B8184" w14:textId="09236EDF" w:rsidR="007521BB" w:rsidRPr="007521BB" w:rsidRDefault="007521BB" w:rsidP="007521BB">
      <w:pPr>
        <w:jc w:val="both"/>
        <w:rPr>
          <w:sz w:val="24"/>
          <w:szCs w:val="24"/>
        </w:rPr>
      </w:pPr>
      <w:r w:rsidRPr="007521BB">
        <w:rPr>
          <w:sz w:val="24"/>
          <w:szCs w:val="24"/>
        </w:rPr>
        <w:t xml:space="preserve">Wyniki wskazują, że drzewa decyzyjne są znacznie bardziej efektywne w tym zadaniu niż wszystkie warianty </w:t>
      </w:r>
      <w:proofErr w:type="spellStart"/>
      <w:r w:rsidRPr="007521BB"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>-</w:t>
      </w:r>
      <w:r w:rsidRPr="007521BB">
        <w:rPr>
          <w:sz w:val="24"/>
          <w:szCs w:val="24"/>
        </w:rPr>
        <w:t xml:space="preserve">Bayes. Wśród nich, najlepiej sprawdza się klasyczny wariant drzewa z niską głębokością i kryterium </w:t>
      </w:r>
      <w:proofErr w:type="spellStart"/>
      <w:r w:rsidRPr="007521BB">
        <w:rPr>
          <w:sz w:val="24"/>
          <w:szCs w:val="24"/>
        </w:rPr>
        <w:t>Gini</w:t>
      </w:r>
      <w:proofErr w:type="spellEnd"/>
      <w:r w:rsidRPr="007521BB">
        <w:rPr>
          <w:sz w:val="24"/>
          <w:szCs w:val="24"/>
        </w:rPr>
        <w:t xml:space="preserve"> (</w:t>
      </w:r>
      <w:r w:rsidRPr="007521BB">
        <w:rPr>
          <w:rFonts w:ascii="Consolas" w:hAnsi="Consolas"/>
        </w:rPr>
        <w:t>DT1</w:t>
      </w:r>
      <w:r w:rsidRPr="007521BB">
        <w:rPr>
          <w:sz w:val="24"/>
          <w:szCs w:val="24"/>
        </w:rPr>
        <w:t xml:space="preserve">, </w:t>
      </w:r>
      <w:r w:rsidRPr="007521BB">
        <w:rPr>
          <w:rFonts w:ascii="Consolas" w:hAnsi="Consolas"/>
        </w:rPr>
        <w:t>DT1S</w:t>
      </w:r>
      <w:r w:rsidRPr="007521BB">
        <w:rPr>
          <w:sz w:val="24"/>
          <w:szCs w:val="24"/>
        </w:rPr>
        <w:t xml:space="preserve">). W przypadku </w:t>
      </w:r>
      <w:proofErr w:type="spellStart"/>
      <w:r w:rsidRPr="007521BB">
        <w:rPr>
          <w:sz w:val="24"/>
          <w:szCs w:val="24"/>
        </w:rPr>
        <w:t>Naive</w:t>
      </w:r>
      <w:proofErr w:type="spellEnd"/>
      <w:r w:rsidR="00F82EBA">
        <w:rPr>
          <w:sz w:val="24"/>
          <w:szCs w:val="24"/>
        </w:rPr>
        <w:t>-</w:t>
      </w:r>
      <w:r w:rsidRPr="007521BB">
        <w:rPr>
          <w:sz w:val="24"/>
          <w:szCs w:val="24"/>
        </w:rPr>
        <w:t xml:space="preserve">Bayes, model </w:t>
      </w:r>
      <w:proofErr w:type="spellStart"/>
      <w:r w:rsidRPr="007521BB">
        <w:rPr>
          <w:sz w:val="24"/>
          <w:szCs w:val="24"/>
        </w:rPr>
        <w:t>Gaussian</w:t>
      </w:r>
      <w:proofErr w:type="spellEnd"/>
      <w:r w:rsidRPr="007521BB">
        <w:rPr>
          <w:sz w:val="24"/>
          <w:szCs w:val="24"/>
        </w:rPr>
        <w:t xml:space="preserve"> z odpowiednim skalowaniem (zwłaszcza standaryzacja) daje najlepsze wyniki, ale nie dorównuje drzewom pod względem skuteczności. Warto zauważyć, że nie wszystkie techniki przetwarzania danych poprawiają rezultaty – szczególnie w przypadku modeli drzewiastych normalizacja może działać wręcz niekorzystnie.</w:t>
      </w:r>
    </w:p>
    <w:p w14:paraId="7524884E" w14:textId="7D55A78E" w:rsidR="007521BB" w:rsidRPr="007521BB" w:rsidRDefault="007521BB" w:rsidP="007521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 </w:t>
      </w:r>
      <w:r w:rsidR="00F82EBA">
        <w:rPr>
          <w:sz w:val="24"/>
          <w:szCs w:val="24"/>
        </w:rPr>
        <w:t>wspomnieć</w:t>
      </w:r>
      <w:r w:rsidRPr="007521BB">
        <w:rPr>
          <w:sz w:val="24"/>
          <w:szCs w:val="24"/>
        </w:rPr>
        <w:t xml:space="preserve">, że uzyskane wyniki, nawet dla najlepszego wariantu drzewa decyzyjnego (F1-score ≈ 0.727), nie są zadowalająco wysokie, biorąc pod uwagę 10-klasową naturę problemu. Potencjalną ścieżką poprawy może być zastosowanie bardziej zaawansowanych metod klasyfikacji, takich jak </w:t>
      </w:r>
      <w:proofErr w:type="spellStart"/>
      <w:r w:rsidRPr="007521BB">
        <w:rPr>
          <w:sz w:val="24"/>
          <w:szCs w:val="24"/>
        </w:rPr>
        <w:t>Support</w:t>
      </w:r>
      <w:proofErr w:type="spellEnd"/>
      <w:r w:rsidRPr="007521BB">
        <w:rPr>
          <w:sz w:val="24"/>
          <w:szCs w:val="24"/>
        </w:rPr>
        <w:t xml:space="preserve"> </w:t>
      </w:r>
      <w:proofErr w:type="spellStart"/>
      <w:r w:rsidRPr="007521BB">
        <w:rPr>
          <w:sz w:val="24"/>
          <w:szCs w:val="24"/>
        </w:rPr>
        <w:t>Vector</w:t>
      </w:r>
      <w:proofErr w:type="spellEnd"/>
      <w:r w:rsidRPr="007521BB">
        <w:rPr>
          <w:sz w:val="24"/>
          <w:szCs w:val="24"/>
        </w:rPr>
        <w:t xml:space="preserve"> </w:t>
      </w:r>
      <w:proofErr w:type="spellStart"/>
      <w:r w:rsidRPr="007521BB">
        <w:rPr>
          <w:sz w:val="24"/>
          <w:szCs w:val="24"/>
        </w:rPr>
        <w:t>Machines</w:t>
      </w:r>
      <w:proofErr w:type="spellEnd"/>
      <w:r w:rsidRPr="007521BB">
        <w:rPr>
          <w:sz w:val="24"/>
          <w:szCs w:val="24"/>
        </w:rPr>
        <w:t xml:space="preserve"> (SVM), </w:t>
      </w:r>
      <w:proofErr w:type="spellStart"/>
      <w:r w:rsidRPr="007521BB">
        <w:rPr>
          <w:sz w:val="24"/>
          <w:szCs w:val="24"/>
        </w:rPr>
        <w:t>Random</w:t>
      </w:r>
      <w:proofErr w:type="spellEnd"/>
      <w:r w:rsidRPr="007521BB">
        <w:rPr>
          <w:sz w:val="24"/>
          <w:szCs w:val="24"/>
        </w:rPr>
        <w:t xml:space="preserve"> </w:t>
      </w:r>
      <w:proofErr w:type="spellStart"/>
      <w:r w:rsidRPr="007521BB">
        <w:rPr>
          <w:sz w:val="24"/>
          <w:szCs w:val="24"/>
        </w:rPr>
        <w:t>Forest</w:t>
      </w:r>
      <w:proofErr w:type="spellEnd"/>
      <w:r w:rsidRPr="007521BB">
        <w:rPr>
          <w:sz w:val="24"/>
          <w:szCs w:val="24"/>
        </w:rPr>
        <w:t xml:space="preserve"> czy </w:t>
      </w:r>
      <w:proofErr w:type="spellStart"/>
      <w:r w:rsidRPr="007521BB">
        <w:rPr>
          <w:sz w:val="24"/>
          <w:szCs w:val="24"/>
        </w:rPr>
        <w:t>XGBoost</w:t>
      </w:r>
      <w:proofErr w:type="spellEnd"/>
      <w:r w:rsidRPr="007521BB">
        <w:rPr>
          <w:sz w:val="24"/>
          <w:szCs w:val="24"/>
        </w:rPr>
        <w:t>, które lepiej radzą sobie z bardziej złożonymi strukturami danych i mogą zapewnić lepsze uogólnienie oraz większą odporność na nadmierne dopasowanie.</w:t>
      </w:r>
    </w:p>
    <w:p w14:paraId="3DCF5F7D" w14:textId="77777777" w:rsidR="0007602E" w:rsidRPr="00FB6A8D" w:rsidRDefault="0007602E" w:rsidP="0007602E">
      <w:pPr>
        <w:pStyle w:val="Heading1"/>
        <w:jc w:val="center"/>
        <w:rPr>
          <w:rFonts w:asciiTheme="minorHAnsi" w:hAnsiTheme="minorHAnsi"/>
        </w:rPr>
      </w:pPr>
      <w:r w:rsidRPr="00FB6A8D">
        <w:rPr>
          <w:rFonts w:asciiTheme="minorHAnsi" w:hAnsiTheme="minorHAnsi"/>
        </w:rPr>
        <w:t>Kod</w:t>
      </w:r>
    </w:p>
    <w:p w14:paraId="121EF1AE" w14:textId="7919E0A2" w:rsidR="0015349A" w:rsidRPr="003D59F5" w:rsidRDefault="0007602E" w:rsidP="003D59F5">
      <w:pPr>
        <w:jc w:val="center"/>
        <w:rPr>
          <w:sz w:val="20"/>
          <w:szCs w:val="20"/>
        </w:rPr>
      </w:pPr>
      <w:r w:rsidRPr="00FB6A8D">
        <w:rPr>
          <w:sz w:val="24"/>
          <w:szCs w:val="24"/>
        </w:rPr>
        <w:t xml:space="preserve">Kod z rozwiązaniem dostępny jest na repozytorium Github: </w:t>
      </w:r>
      <w:hyperlink r:id="rId12" w:history="1">
        <w:r w:rsidR="00744A81" w:rsidRPr="00FB6A8D">
          <w:rPr>
            <w:rStyle w:val="Hyperlink"/>
            <w:sz w:val="24"/>
            <w:szCs w:val="24"/>
          </w:rPr>
          <w:t>https://github.com/therockey/SIIW-Lab04</w:t>
        </w:r>
      </w:hyperlink>
    </w:p>
    <w:sectPr w:rsidR="0015349A" w:rsidRPr="003D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272B"/>
    <w:multiLevelType w:val="multilevel"/>
    <w:tmpl w:val="CBC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4314A"/>
    <w:multiLevelType w:val="hybridMultilevel"/>
    <w:tmpl w:val="A2E0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76034"/>
    <w:multiLevelType w:val="hybridMultilevel"/>
    <w:tmpl w:val="A6664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09787">
    <w:abstractNumId w:val="1"/>
  </w:num>
  <w:num w:numId="2" w16cid:durableId="992224797">
    <w:abstractNumId w:val="0"/>
  </w:num>
  <w:num w:numId="3" w16cid:durableId="466778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8"/>
    <w:rsid w:val="000462EF"/>
    <w:rsid w:val="00050456"/>
    <w:rsid w:val="0007602E"/>
    <w:rsid w:val="000A2E1A"/>
    <w:rsid w:val="000B334F"/>
    <w:rsid w:val="000C28D5"/>
    <w:rsid w:val="000C4D27"/>
    <w:rsid w:val="000C5674"/>
    <w:rsid w:val="000D788D"/>
    <w:rsid w:val="0015349A"/>
    <w:rsid w:val="001600F7"/>
    <w:rsid w:val="00197944"/>
    <w:rsid w:val="001A3DD0"/>
    <w:rsid w:val="001D7D36"/>
    <w:rsid w:val="002245C4"/>
    <w:rsid w:val="00237914"/>
    <w:rsid w:val="002614B5"/>
    <w:rsid w:val="00276A2B"/>
    <w:rsid w:val="002D3094"/>
    <w:rsid w:val="002E7071"/>
    <w:rsid w:val="0030434A"/>
    <w:rsid w:val="00385219"/>
    <w:rsid w:val="00387EE4"/>
    <w:rsid w:val="00390BE5"/>
    <w:rsid w:val="003D59F5"/>
    <w:rsid w:val="003E4459"/>
    <w:rsid w:val="003F49FF"/>
    <w:rsid w:val="00440A5E"/>
    <w:rsid w:val="004663B8"/>
    <w:rsid w:val="00484A70"/>
    <w:rsid w:val="004B0A67"/>
    <w:rsid w:val="004B600F"/>
    <w:rsid w:val="0050422F"/>
    <w:rsid w:val="005A12E4"/>
    <w:rsid w:val="005B6DE9"/>
    <w:rsid w:val="005D48D8"/>
    <w:rsid w:val="005F0875"/>
    <w:rsid w:val="00636F74"/>
    <w:rsid w:val="006F71FB"/>
    <w:rsid w:val="00744A81"/>
    <w:rsid w:val="007463DB"/>
    <w:rsid w:val="007521BB"/>
    <w:rsid w:val="007555F9"/>
    <w:rsid w:val="00755938"/>
    <w:rsid w:val="007A35B0"/>
    <w:rsid w:val="007E0FAB"/>
    <w:rsid w:val="0080182D"/>
    <w:rsid w:val="00825A71"/>
    <w:rsid w:val="00883B83"/>
    <w:rsid w:val="008A1C94"/>
    <w:rsid w:val="008E2A48"/>
    <w:rsid w:val="00A219DF"/>
    <w:rsid w:val="00A333E7"/>
    <w:rsid w:val="00A53534"/>
    <w:rsid w:val="00AF5287"/>
    <w:rsid w:val="00B071F4"/>
    <w:rsid w:val="00B117DA"/>
    <w:rsid w:val="00B43C98"/>
    <w:rsid w:val="00B718A1"/>
    <w:rsid w:val="00B80E16"/>
    <w:rsid w:val="00B92431"/>
    <w:rsid w:val="00BC602A"/>
    <w:rsid w:val="00BE4DC3"/>
    <w:rsid w:val="00C0667D"/>
    <w:rsid w:val="00C36039"/>
    <w:rsid w:val="00C42002"/>
    <w:rsid w:val="00CB2581"/>
    <w:rsid w:val="00CB6DDB"/>
    <w:rsid w:val="00CD71E4"/>
    <w:rsid w:val="00CE2BB1"/>
    <w:rsid w:val="00D117D4"/>
    <w:rsid w:val="00D13C89"/>
    <w:rsid w:val="00D565A4"/>
    <w:rsid w:val="00D8788E"/>
    <w:rsid w:val="00D96716"/>
    <w:rsid w:val="00DF0F89"/>
    <w:rsid w:val="00E37F46"/>
    <w:rsid w:val="00E8552B"/>
    <w:rsid w:val="00E91E7B"/>
    <w:rsid w:val="00EB0E1A"/>
    <w:rsid w:val="00EC585C"/>
    <w:rsid w:val="00EC7AEF"/>
    <w:rsid w:val="00ED01F1"/>
    <w:rsid w:val="00F235C4"/>
    <w:rsid w:val="00F450CD"/>
    <w:rsid w:val="00F55986"/>
    <w:rsid w:val="00F73AE0"/>
    <w:rsid w:val="00F76445"/>
    <w:rsid w:val="00F82EBA"/>
    <w:rsid w:val="00F87489"/>
    <w:rsid w:val="00F901D6"/>
    <w:rsid w:val="00FA4A19"/>
    <w:rsid w:val="00FB6A8D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90C"/>
  <w15:chartTrackingRefBased/>
  <w15:docId w15:val="{1666A0EE-2CD4-40F7-A6EB-44F2E9BA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0F7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0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A8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91E7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therockey/SIIW-Lab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A45B-567D-4C4A-9228-7A6EEE3A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2552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Tomczyk</dc:creator>
  <cp:keywords/>
  <dc:description/>
  <cp:lastModifiedBy>Kacper Tomczyk</cp:lastModifiedBy>
  <cp:revision>88</cp:revision>
  <dcterms:created xsi:type="dcterms:W3CDTF">2025-06-02T07:20:00Z</dcterms:created>
  <dcterms:modified xsi:type="dcterms:W3CDTF">2025-06-06T00:33:00Z</dcterms:modified>
</cp:coreProperties>
</file>