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pPr>
      <w:r>
        <w:rPr>
          <w:rFonts w:ascii="Arial" w:cs="Arial" w:eastAsia="Arial" w:hAnsi="Arial"/>
          <w:b/>
          <w:bCs/>
          <w:color w:val="006A4E"/>
          <w:sz w:val="44"/>
          <w:szCs w:val="44"/>
        </w:rPr>
        <w:t xml:space="preserve">LLOYDS TECHNOLOGY CENTRE (LTC)</w:t>
      </w:r>
    </w:p>
    <w:p>
      <w:pPr>
        <w:spacing w:before="0" w:after="80"/>
      </w:pPr>
      <w:r>
        <w:rPr>
          <w:rFonts w:ascii="Arial" w:cs="Arial" w:eastAsia="Arial" w:hAnsi="Arial"/>
          <w:color w:val="555555"/>
          <w:sz w:val="28"/>
          <w:szCs w:val="28"/>
        </w:rPr>
        <w:t xml:space="preserve">India | Workforce Intelligence Platform</w:t>
      </w:r>
    </w:p>
    <w:p>
      <w:pPr>
        <w:pBdr>
          <w:bottom w:val="single" w:color="006A4E" w:sz="12" w:space="8"/>
        </w:pBdr>
        <w:spacing w:before="0" w:after="320"/>
      </w:pPr>
      <w:r>
        <w:rPr>
          <w:rFonts w:ascii="Arial" w:cs="Arial" w:eastAsia="Arial" w:hAnsi="Arial"/>
          <w:b/>
          <w:bCs/>
          <w:color w:val="333333"/>
          <w:sz w:val="24"/>
          <w:szCs w:val="24"/>
        </w:rPr>
        <w:t xml:space="preserve">Business Impact Overview — For Executive Floor Walk</w:t>
      </w:r>
    </w:p>
    <w:p>
      <w:pPr>
        <w:spacing w:before="80" w:after="80"/>
      </w:pPr>
      <w:r>
        <w:t xml:space="preserve"/>
      </w:r>
    </w:p>
    <w:p>
      <w:pPr>
        <w:pStyle w:val="Heading1"/>
        <w:pBdr>
          <w:bottom w:val="single" w:color="006A4E" w:sz="6" w:space="6"/>
        </w:pBdr>
        <w:spacing w:before="360" w:after="160"/>
      </w:pPr>
      <w:r>
        <w:rPr>
          <w:rFonts w:ascii="Arial" w:cs="Arial" w:eastAsia="Arial" w:hAnsi="Arial"/>
          <w:b/>
          <w:bCs/>
          <w:color w:val="006A4E"/>
          <w:sz w:val="32"/>
          <w:szCs w:val="32"/>
        </w:rPr>
        <w:t xml:space="preserve">1. Who We Are &amp; What We Built</w:t>
      </w:r>
    </w:p>
    <w:p>
      <w:pPr>
        <w:spacing w:before="80" w:after="80"/>
      </w:pPr>
      <w:r>
        <w:rPr>
          <w:rFonts w:ascii="Arial" w:cs="Arial" w:eastAsia="Arial" w:hAnsi="Arial"/>
          <w:sz w:val="22"/>
          <w:szCs w:val="22"/>
        </w:rPr>
        <w:t xml:space="preserve">The Data Engineering team at LTC has developed a centralised Workforce Intelligence Platform — a suite of automated, real-time dashboards that give Lloyds Bank leadership a single, trusted view of its people and workforce health across the organisation.</w:t>
      </w:r>
    </w:p>
    <w:p>
      <w:pPr>
        <w:spacing w:before="80" w:after="80"/>
      </w:pPr>
      <w:r>
        <w:t xml:space="preserve"/>
      </w:r>
    </w:p>
    <w:p>
      <w:pPr>
        <w:spacing w:before="80" w:after="80"/>
      </w:pPr>
      <w:r>
        <w:rPr>
          <w:rFonts w:ascii="Arial" w:cs="Arial" w:eastAsia="Arial" w:hAnsi="Arial"/>
          <w:i w:val="false"/>
          <w:iCs w:val="false"/>
          <w:sz w:val="22"/>
          <w:szCs w:val="22"/>
        </w:rPr>
        <w:t xml:space="preserve">Previously, workforce data was scattered across multiple HR and operational systems with no unified view. Our team designed and delivered end-to-end data pipelines that consolidate this information and surface it as actionable metrics — available instantly, at any time, without manual effort.</w:t>
      </w:r>
    </w:p>
    <w:p>
      <w:pPr>
        <w:spacing w:before="80" w:after="80"/>
      </w:pPr>
      <w:r>
        <w:t xml:space="preserve"/>
      </w:r>
    </w:p>
    <w:p>
      <w:pPr>
        <w:pStyle w:val="Heading1"/>
        <w:pBdr>
          <w:bottom w:val="single" w:color="006A4E" w:sz="6" w:space="6"/>
        </w:pBdr>
        <w:spacing w:before="360" w:after="160"/>
      </w:pPr>
      <w:r>
        <w:rPr>
          <w:rFonts w:ascii="Arial" w:cs="Arial" w:eastAsia="Arial" w:hAnsi="Arial"/>
          <w:b/>
          <w:bCs/>
          <w:color w:val="006A4E"/>
          <w:sz w:val="32"/>
          <w:szCs w:val="32"/>
        </w:rPr>
        <w:t xml:space="preserve">2. The Workforce Intelligence Platform</w:t>
      </w:r>
    </w:p>
    <w:p>
      <w:pPr>
        <w:spacing w:before="80" w:after="80"/>
      </w:pPr>
      <w:r>
        <w:rPr>
          <w:rFonts w:ascii="Arial" w:cs="Arial" w:eastAsia="Arial" w:hAnsi="Arial"/>
          <w:sz w:val="22"/>
          <w:szCs w:val="22"/>
        </w:rPr>
        <w:t xml:space="preserve">The platform delivers six core metric areas, each of which directly informs decisions made by HR leaders, Finance, Talent Acquisition, and senior management:</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160"/>
        <w:gridCol w:w="2160"/>
        <w:gridCol w:w="2160"/>
      </w:tblGrid>
      <w:tr>
        <w:trPr>
          <w:tblHeader/>
        </w:trPr>
        <w:tc>
          <w:tcPr>
            <w:tcW w:type="dxa" w:w="1500"/>
            <w:tcBorders>
              <w:top w:val="single" w:color="CCCCCC" w:sz="1"/>
              <w:left w:val="single" w:color="CCCCCC" w:sz="1"/>
              <w:bottom w:val="single" w:color="CCCCCC" w:sz="1"/>
              <w:right w:val="single" w:color="CCCCCC" w:sz="1"/>
            </w:tcBorders>
            <w:shd w:fill="006A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Metric Area</w:t>
            </w:r>
          </w:p>
        </w:tc>
        <w:tc>
          <w:tcPr>
            <w:tcW w:type="dxa" w:w="2100"/>
            <w:tcBorders>
              <w:top w:val="single" w:color="CCCCCC" w:sz="1"/>
              <w:left w:val="single" w:color="CCCCCC" w:sz="1"/>
              <w:bottom w:val="single" w:color="CCCCCC" w:sz="1"/>
              <w:right w:val="single" w:color="CCCCCC" w:sz="1"/>
            </w:tcBorders>
            <w:shd w:fill="006A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What It Measures</w:t>
            </w:r>
          </w:p>
        </w:tc>
        <w:tc>
          <w:tcPr>
            <w:tcW w:type="dxa" w:w="2160"/>
            <w:tcBorders>
              <w:top w:val="single" w:color="CCCCCC" w:sz="1"/>
              <w:left w:val="single" w:color="CCCCCC" w:sz="1"/>
              <w:bottom w:val="single" w:color="CCCCCC" w:sz="1"/>
              <w:right w:val="single" w:color="CCCCCC" w:sz="1"/>
            </w:tcBorders>
            <w:shd w:fill="006A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Why It Matters</w:t>
            </w:r>
          </w:p>
        </w:tc>
        <w:tc>
          <w:tcPr>
            <w:tcW w:type="dxa" w:w="2160"/>
            <w:tcBorders>
              <w:top w:val="single" w:color="CCCCCC" w:sz="1"/>
              <w:left w:val="single" w:color="CCCCCC" w:sz="1"/>
              <w:bottom w:val="single" w:color="CCCCCC" w:sz="1"/>
              <w:right w:val="single" w:color="CCCCCC" w:sz="1"/>
            </w:tcBorders>
            <w:shd w:fill="006A4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Decision It Enables</w:t>
            </w:r>
          </w:p>
        </w:tc>
      </w:tr>
      <w:tr>
        <w:tc>
          <w:tcPr>
            <w:tcW w:type="dxa" w:w="1500"/>
            <w:tcBorders>
              <w:top w:val="single" w:color="CCCCCC" w:sz="1"/>
              <w:left w:val="single" w:color="CCCCCC" w:sz="1"/>
              <w:bottom w:val="single" w:color="CCCCCC" w:sz="1"/>
              <w:right w:val="single" w:color="CCCCCC" w:sz="1"/>
            </w:tcBorders>
            <w:shd w:fill="E8F4F0" w:val="clear"/>
            <w:tcMar>
              <w:top w:type="dxa" w:w="100"/>
              <w:left w:type="dxa" w:w="140"/>
              <w:bottom w:type="dxa" w:w="100"/>
              <w:right w:type="dxa" w:w="140"/>
            </w:tcMar>
            <w:vAlign w:val="top"/>
          </w:tcPr>
          <w:p>
            <w:pPr>
              <w:jc w:val="left"/>
            </w:pPr>
            <w:r>
              <w:rPr>
                <w:rFonts w:ascii="Arial" w:cs="Arial" w:eastAsia="Arial" w:hAnsi="Arial"/>
                <w:b/>
                <w:bCs/>
                <w:color w:val="006A4E"/>
                <w:sz w:val="20"/>
                <w:szCs w:val="20"/>
              </w:rPr>
              <w:t xml:space="preserve">📊 Performance Metrics</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Employee productivity, goal attainment &amp; output levels across teams</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Identifies high performers and underperforming units early</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Targeted coaching, reward &amp; recognition, resource reallocation</w:t>
            </w:r>
          </w:p>
        </w:tc>
      </w:tr>
      <w:tr>
        <w:tc>
          <w:tcPr>
            <w:tcW w:type="dxa" w:w="1500"/>
            <w:tcBorders>
              <w:top w:val="single" w:color="CCCCCC" w:sz="1"/>
              <w:left w:val="single" w:color="CCCCCC" w:sz="1"/>
              <w:bottom w:val="single" w:color="CCCCCC" w:sz="1"/>
              <w:right w:val="single" w:color="CCCCCC" w:sz="1"/>
            </w:tcBorders>
            <w:shd w:fill="E8F4F0" w:val="clear"/>
            <w:tcMar>
              <w:top w:type="dxa" w:w="100"/>
              <w:left w:type="dxa" w:w="140"/>
              <w:bottom w:type="dxa" w:w="100"/>
              <w:right w:type="dxa" w:w="140"/>
            </w:tcMar>
            <w:vAlign w:val="top"/>
          </w:tcPr>
          <w:p>
            <w:pPr>
              <w:jc w:val="left"/>
            </w:pPr>
            <w:r>
              <w:rPr>
                <w:rFonts w:ascii="Arial" w:cs="Arial" w:eastAsia="Arial" w:hAnsi="Arial"/>
                <w:b/>
                <w:bCs/>
                <w:color w:val="006A4E"/>
                <w:sz w:val="20"/>
                <w:szCs w:val="20"/>
              </w:rPr>
              <w:t xml:space="preserve">🎯 Recruitment Metrics</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Time-to-hire, offer acceptance rates, pipeline health &amp; source effectiveness</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Reveals bottlenecks slowing down talent acquisition</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Faster hiring decisions, improved candidate experience, cost reduction</w:t>
            </w:r>
          </w:p>
        </w:tc>
      </w:tr>
      <w:tr>
        <w:tc>
          <w:tcPr>
            <w:tcW w:type="dxa" w:w="1500"/>
            <w:tcBorders>
              <w:top w:val="single" w:color="CCCCCC" w:sz="1"/>
              <w:left w:val="single" w:color="CCCCCC" w:sz="1"/>
              <w:bottom w:val="single" w:color="CCCCCC" w:sz="1"/>
              <w:right w:val="single" w:color="CCCCCC" w:sz="1"/>
            </w:tcBorders>
            <w:shd w:fill="E8F4F0" w:val="clear"/>
            <w:tcMar>
              <w:top w:type="dxa" w:w="100"/>
              <w:left w:type="dxa" w:w="140"/>
              <w:bottom w:type="dxa" w:w="100"/>
              <w:right w:type="dxa" w:w="140"/>
            </w:tcMar>
            <w:vAlign w:val="top"/>
          </w:tcPr>
          <w:p>
            <w:pPr>
              <w:jc w:val="left"/>
            </w:pPr>
            <w:r>
              <w:rPr>
                <w:rFonts w:ascii="Arial" w:cs="Arial" w:eastAsia="Arial" w:hAnsi="Arial"/>
                <w:b/>
                <w:bCs/>
                <w:color w:val="006A4E"/>
                <w:sz w:val="20"/>
                <w:szCs w:val="20"/>
              </w:rPr>
              <w:t xml:space="preserve">🏠 Hybrid Working Metrics</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Office attendance, remote working patterns &amp; team collaboration footprint</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Ensures policy compliance and optimises office space planning</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Hybrid policy enforcement, real estate cost savings, team scheduling</w:t>
            </w:r>
          </w:p>
        </w:tc>
      </w:tr>
      <w:tr>
        <w:tc>
          <w:tcPr>
            <w:tcW w:type="dxa" w:w="1500"/>
            <w:tcBorders>
              <w:top w:val="single" w:color="CCCCCC" w:sz="1"/>
              <w:left w:val="single" w:color="CCCCCC" w:sz="1"/>
              <w:bottom w:val="single" w:color="CCCCCC" w:sz="1"/>
              <w:right w:val="single" w:color="CCCCCC" w:sz="1"/>
            </w:tcBorders>
            <w:shd w:fill="E8F4F0" w:val="clear"/>
            <w:tcMar>
              <w:top w:type="dxa" w:w="100"/>
              <w:left w:type="dxa" w:w="140"/>
              <w:bottom w:type="dxa" w:w="100"/>
              <w:right w:type="dxa" w:w="140"/>
            </w:tcMar>
            <w:vAlign w:val="top"/>
          </w:tcPr>
          <w:p>
            <w:pPr>
              <w:jc w:val="left"/>
            </w:pPr>
            <w:r>
              <w:rPr>
                <w:rFonts w:ascii="Arial" w:cs="Arial" w:eastAsia="Arial" w:hAnsi="Arial"/>
                <w:b/>
                <w:bCs/>
                <w:color w:val="006A4E"/>
                <w:sz w:val="20"/>
                <w:szCs w:val="20"/>
              </w:rPr>
              <w:t xml:space="preserve">🤒 Sickness Metrics</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Absence rates, patterns, Bradford Factor scores &amp; trends by team/location</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Early detection of wellbeing concerns before they escalate</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Proactive wellbeing interventions, manager support, risk flagging</w:t>
            </w:r>
          </w:p>
        </w:tc>
      </w:tr>
      <w:tr>
        <w:tc>
          <w:tcPr>
            <w:tcW w:type="dxa" w:w="1500"/>
            <w:tcBorders>
              <w:top w:val="single" w:color="CCCCCC" w:sz="1"/>
              <w:left w:val="single" w:color="CCCCCC" w:sz="1"/>
              <w:bottom w:val="single" w:color="CCCCCC" w:sz="1"/>
              <w:right w:val="single" w:color="CCCCCC" w:sz="1"/>
            </w:tcBorders>
            <w:shd w:fill="E8F4F0" w:val="clear"/>
            <w:tcMar>
              <w:top w:type="dxa" w:w="100"/>
              <w:left w:type="dxa" w:w="140"/>
              <w:bottom w:type="dxa" w:w="100"/>
              <w:right w:type="dxa" w:w="140"/>
            </w:tcMar>
            <w:vAlign w:val="top"/>
          </w:tcPr>
          <w:p>
            <w:pPr>
              <w:jc w:val="left"/>
            </w:pPr>
            <w:r>
              <w:rPr>
                <w:rFonts w:ascii="Arial" w:cs="Arial" w:eastAsia="Arial" w:hAnsi="Arial"/>
                <w:b/>
                <w:bCs/>
                <w:color w:val="006A4E"/>
                <w:sz w:val="20"/>
                <w:szCs w:val="20"/>
              </w:rPr>
              <w:t xml:space="preserve">👥 Headcount Metrics</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Total workforce count, joiners, leavers &amp; attrition trends in real time</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Maintains an accurate, live view of the organisation's size and shape</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Budget planning, capacity forecasting, org design decisions</w:t>
            </w:r>
          </w:p>
        </w:tc>
      </w:tr>
      <w:tr>
        <w:tc>
          <w:tcPr>
            <w:tcW w:type="dxa" w:w="1500"/>
            <w:tcBorders>
              <w:top w:val="single" w:color="CCCCCC" w:sz="1"/>
              <w:left w:val="single" w:color="CCCCCC" w:sz="1"/>
              <w:bottom w:val="single" w:color="CCCCCC" w:sz="1"/>
              <w:right w:val="single" w:color="CCCCCC" w:sz="1"/>
            </w:tcBorders>
            <w:shd w:fill="E8F4F0" w:val="clear"/>
            <w:tcMar>
              <w:top w:type="dxa" w:w="100"/>
              <w:left w:type="dxa" w:w="140"/>
              <w:bottom w:type="dxa" w:w="100"/>
              <w:right w:type="dxa" w:w="140"/>
            </w:tcMar>
            <w:vAlign w:val="top"/>
          </w:tcPr>
          <w:p>
            <w:pPr>
              <w:jc w:val="left"/>
            </w:pPr>
            <w:r>
              <w:rPr>
                <w:rFonts w:ascii="Arial" w:cs="Arial" w:eastAsia="Arial" w:hAnsi="Arial"/>
                <w:b/>
                <w:bCs/>
                <w:color w:val="006A4E"/>
                <w:sz w:val="20"/>
                <w:szCs w:val="20"/>
              </w:rPr>
              <w:t xml:space="preserve">📚 Learning &amp; Skills Metrics</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Training completion, skills gap assessments &amp; mandatory compliance rates</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Tracks whether the workforce is building capabilities fast enough</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Targeted upskilling investment, compliance risk management, career pathing</w:t>
            </w:r>
          </w:p>
        </w:tc>
      </w:tr>
    </w:tbl>
    <w:p>
      <w:pPr>
        <w:spacing w:before="80" w:after="80"/>
      </w:pPr>
      <w:r>
        <w:t xml:space="preserve"/>
      </w:r>
    </w:p>
    <w:p>
      <w:pPr>
        <w:spacing w:before="80" w:after="80"/>
      </w:pPr>
      <w:r>
        <w:t xml:space="preserve"/>
      </w:r>
    </w:p>
    <w:p>
      <w:pPr>
        <w:pStyle w:val="Heading1"/>
        <w:pBdr>
          <w:bottom w:val="single" w:color="006A4E" w:sz="6" w:space="6"/>
        </w:pBdr>
        <w:spacing w:before="360" w:after="160"/>
      </w:pPr>
      <w:r>
        <w:rPr>
          <w:rFonts w:ascii="Arial" w:cs="Arial" w:eastAsia="Arial" w:hAnsi="Arial"/>
          <w:b/>
          <w:bCs/>
          <w:color w:val="006A4E"/>
          <w:sz w:val="32"/>
          <w:szCs w:val="32"/>
        </w:rPr>
        <w:t xml:space="preserve">3. Business Impact at LTC</w:t>
      </w:r>
    </w:p>
    <w:p>
      <w:pPr>
        <w:spacing w:before="80" w:after="80"/>
      </w:pPr>
      <w:r>
        <w:rPr>
          <w:rFonts w:ascii="Arial" w:cs="Arial" w:eastAsia="Arial" w:hAnsi="Arial"/>
          <w:sz w:val="22"/>
          <w:szCs w:val="22"/>
        </w:rPr>
        <w:t xml:space="preserve">The platform's impact can be measured across four strategic dimensions:</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1"/>
              <w:left w:val="single" w:color="CCCCCC" w:sz="1"/>
              <w:bottom w:val="single" w:color="CCCCCC" w:sz="1"/>
              <w:right w:val="single" w:color="CCCCCC" w:sz="1"/>
            </w:tcBorders>
            <w:shd w:fill="E8F4F0" w:val="clear"/>
            <w:tcMar>
              <w:top w:type="dxa" w:w="160"/>
              <w:left w:type="dxa" w:w="200"/>
              <w:bottom w:type="dxa" w:w="160"/>
              <w:right w:type="dxa" w:w="200"/>
            </w:tcMar>
          </w:tcPr>
          <w:p>
            <w:pPr>
              <w:spacing w:after="80"/>
            </w:pPr>
            <w:r>
              <w:rPr>
                <w:rFonts w:ascii="Arial" w:cs="Arial" w:eastAsia="Arial" w:hAnsi="Arial"/>
                <w:b/>
                <w:bCs/>
                <w:color w:val="006A4E"/>
                <w:sz w:val="24"/>
                <w:szCs w:val="24"/>
              </w:rPr>
              <w:t xml:space="preserve">⚡  Speed of Decision-Making</w:t>
            </w:r>
          </w:p>
          <w:p>
            <w:r>
              <w:rPr>
                <w:rFonts w:ascii="Arial" w:cs="Arial" w:eastAsia="Arial" w:hAnsi="Arial"/>
                <w:sz w:val="20"/>
                <w:szCs w:val="20"/>
              </w:rPr>
              <w:t xml:space="preserve">Leaders no longer wait for weekly or monthly manual reports. Real-time dashboards mean decisions are made in hours, not days. HR Business Partners have immediate answers when the business asks 'How many people do we have?' or 'What's our sickness rate this month?'</w:t>
            </w:r>
          </w:p>
        </w:tc>
        <w:tc>
          <w:tcPr>
            <w:tcW w:type="dxa" w:w="5040"/>
            <w:tcBorders>
              <w:top w:val="single" w:color="CCCCCC" w:sz="1"/>
              <w:left w:val="single" w:color="CCCCCC" w:sz="1"/>
              <w:bottom w:val="single" w:color="CCCCCC" w:sz="1"/>
              <w:right w:val="single" w:color="CCCCCC" w:sz="1"/>
            </w:tcBorders>
            <w:shd w:fill="E8F4F0" w:val="clear"/>
            <w:tcMar>
              <w:top w:type="dxa" w:w="160"/>
              <w:left w:type="dxa" w:w="200"/>
              <w:bottom w:type="dxa" w:w="160"/>
              <w:right w:type="dxa" w:w="200"/>
            </w:tcMar>
          </w:tcPr>
          <w:p>
            <w:pPr>
              <w:spacing w:after="80"/>
            </w:pPr>
            <w:r>
              <w:rPr>
                <w:rFonts w:ascii="Arial" w:cs="Arial" w:eastAsia="Arial" w:hAnsi="Arial"/>
                <w:b/>
                <w:bCs/>
                <w:color w:val="006A4E"/>
                <w:sz w:val="24"/>
                <w:szCs w:val="24"/>
              </w:rPr>
              <w:t xml:space="preserve">🎯  Data-Driven People Strategy</w:t>
            </w:r>
          </w:p>
          <w:p>
            <w:r>
              <w:rPr>
                <w:rFonts w:ascii="Arial" w:cs="Arial" w:eastAsia="Arial" w:hAnsi="Arial"/>
                <w:sz w:val="20"/>
                <w:szCs w:val="20"/>
              </w:rPr>
              <w:t xml:space="preserve">Strategic workforce planning is now grounded in evidence. Rather than gut-feel or anecdote, LTC's people strategy is guided by trends, patterns and predictions drawn from clean, consistent data across every metric.</w:t>
            </w:r>
          </w:p>
        </w:tc>
      </w:tr>
      <w:tr>
        <w:tc>
          <w:tcPr>
            <w:tcW w:type="dxa" w:w="5040"/>
            <w:tcBorders>
              <w:top w:val="single" w:color="CCCCCC" w:sz="1"/>
              <w:left w:val="single" w:color="CCCCCC" w:sz="1"/>
              <w:bottom w:val="single" w:color="CCCCCC" w:sz="1"/>
              <w:right w:val="single" w:color="CCCCCC" w:sz="1"/>
            </w:tcBorders>
            <w:shd w:fill="E8F4F0" w:val="clear"/>
            <w:tcMar>
              <w:top w:type="dxa" w:w="160"/>
              <w:left w:type="dxa" w:w="200"/>
              <w:bottom w:type="dxa" w:w="160"/>
              <w:right w:type="dxa" w:w="200"/>
            </w:tcMar>
          </w:tcPr>
          <w:p>
            <w:pPr>
              <w:spacing w:after="80"/>
            </w:pPr>
            <w:r>
              <w:rPr>
                <w:rFonts w:ascii="Arial" w:cs="Arial" w:eastAsia="Arial" w:hAnsi="Arial"/>
                <w:b/>
                <w:bCs/>
                <w:color w:val="006A4E"/>
                <w:sz w:val="24"/>
                <w:szCs w:val="24"/>
              </w:rPr>
              <w:t xml:space="preserve">💰  Cost &amp; Resource Efficiency</w:t>
            </w:r>
          </w:p>
          <w:p>
            <w:r>
              <w:rPr>
                <w:rFonts w:ascii="Arial" w:cs="Arial" w:eastAsia="Arial" w:hAnsi="Arial"/>
                <w:sz w:val="20"/>
                <w:szCs w:val="20"/>
              </w:rPr>
              <w:t xml:space="preserve">By automating what was previously manual data gathering and reporting, the platform frees up significant HR and management time. Accurate headcount and hybrid data also supports smarter real estate and resource allocation decisions.</w:t>
            </w:r>
          </w:p>
        </w:tc>
        <w:tc>
          <w:tcPr>
            <w:tcW w:type="dxa" w:w="5040"/>
            <w:tcBorders>
              <w:top w:val="single" w:color="CCCCCC" w:sz="1"/>
              <w:left w:val="single" w:color="CCCCCC" w:sz="1"/>
              <w:bottom w:val="single" w:color="CCCCCC" w:sz="1"/>
              <w:right w:val="single" w:color="CCCCCC" w:sz="1"/>
            </w:tcBorders>
            <w:shd w:fill="E8F4F0" w:val="clear"/>
            <w:tcMar>
              <w:top w:type="dxa" w:w="160"/>
              <w:left w:type="dxa" w:w="200"/>
              <w:bottom w:type="dxa" w:w="160"/>
              <w:right w:type="dxa" w:w="200"/>
            </w:tcMar>
          </w:tcPr>
          <w:p>
            <w:pPr>
              <w:spacing w:after="80"/>
            </w:pPr>
            <w:r>
              <w:rPr>
                <w:rFonts w:ascii="Arial" w:cs="Arial" w:eastAsia="Arial" w:hAnsi="Arial"/>
                <w:b/>
                <w:bCs/>
                <w:color w:val="006A4E"/>
                <w:sz w:val="24"/>
                <w:szCs w:val="24"/>
              </w:rPr>
              <w:t xml:space="preserve">🛡️  Risk &amp; Compliance Assurance</w:t>
            </w:r>
          </w:p>
          <w:p>
            <w:r>
              <w:rPr>
                <w:rFonts w:ascii="Arial" w:cs="Arial" w:eastAsia="Arial" w:hAnsi="Arial"/>
                <w:sz w:val="20"/>
                <w:szCs w:val="20"/>
              </w:rPr>
              <w:t xml:space="preserve">Mandatory training completion rates and sickness trends are monitored continuously. This helps Lloyds Bank stay ahead of regulatory compliance obligations and manage workforce risk before it becomes a business problem.</w:t>
            </w:r>
          </w:p>
        </w:tc>
      </w:tr>
    </w:tbl>
    <w:p>
      <w:pPr>
        <w:spacing w:before="80" w:after="80"/>
      </w:pPr>
      <w:r>
        <w:t xml:space="preserve"/>
      </w:r>
    </w:p>
    <w:p>
      <w:pPr>
        <w:spacing w:before="80" w:after="80"/>
      </w:pPr>
      <w:r>
        <w:t xml:space="preserve"/>
      </w:r>
    </w:p>
    <w:p>
      <w:pPr>
        <w:pStyle w:val="Heading1"/>
        <w:pBdr>
          <w:bottom w:val="single" w:color="006A4E" w:sz="6" w:space="6"/>
        </w:pBdr>
        <w:spacing w:before="360" w:after="160"/>
      </w:pPr>
      <w:r>
        <w:rPr>
          <w:rFonts w:ascii="Arial" w:cs="Arial" w:eastAsia="Arial" w:hAnsi="Arial"/>
          <w:b/>
          <w:bCs/>
          <w:color w:val="006A4E"/>
          <w:sz w:val="32"/>
          <w:szCs w:val="32"/>
        </w:rPr>
        <w:t xml:space="preserve">4. How It Works — In Simple Terms</w:t>
      </w:r>
    </w:p>
    <w:p>
      <w:pPr>
        <w:spacing w:before="80" w:after="80"/>
      </w:pPr>
      <w:r>
        <w:rPr>
          <w:rFonts w:ascii="Arial" w:cs="Arial" w:eastAsia="Arial" w:hAnsi="Arial"/>
          <w:sz w:val="22"/>
          <w:szCs w:val="22"/>
        </w:rPr>
        <w:t xml:space="preserve">Behind every number on the dashboard, there is a carefully engineered data pipeline built and maintained by the LTC data engineering team. At a high level, the journey from raw data to business insight happens in three stages:</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CCCCC" w:sz="1"/>
              <w:left w:val="single" w:color="CCCCCC" w:sz="1"/>
              <w:bottom w:val="single" w:color="CCCCCC" w:sz="1"/>
              <w:right w:val="single" w:color="CCCCCC" w:sz="1"/>
            </w:tcBorders>
            <w:shd w:fill="006A4E" w:val="clear"/>
            <w:tcMar>
              <w:top w:type="dxa" w:w="140"/>
              <w:left w:type="dxa" w:w="180"/>
              <w:bottom w:type="dxa" w:w="140"/>
              <w:right w:type="dxa" w:w="180"/>
            </w:tcMar>
            <w:vAlign w:val="center"/>
          </w:tcPr>
          <w:p>
            <w:pPr>
              <w:jc w:val="center"/>
            </w:pPr>
            <w:r>
              <w:rPr>
                <w:rFonts w:ascii="Arial" w:cs="Arial" w:eastAsia="Arial" w:hAnsi="Arial"/>
                <w:b/>
                <w:bCs/>
                <w:color w:val="FFFFFF"/>
                <w:sz w:val="18"/>
                <w:szCs w:val="18"/>
              </w:rPr>
              <w:t xml:space="preserve">STAGE 1</w:t>
            </w:r>
          </w:p>
          <w:p>
            <w:pPr>
              <w:jc w:val="center"/>
            </w:pPr>
            <w:r>
              <w:rPr>
                <w:rFonts w:ascii="Arial" w:cs="Arial" w:eastAsia="Arial" w:hAnsi="Arial"/>
                <w:b/>
                <w:bCs/>
                <w:color w:val="FFFFFF"/>
                <w:sz w:val="24"/>
                <w:szCs w:val="24"/>
              </w:rPr>
              <w:t xml:space="preserve">📥 Data Collection</w:t>
            </w:r>
          </w:p>
        </w:tc>
        <w:tc>
          <w:tcPr>
            <w:tcW w:type="dxa" w:w="3360"/>
            <w:tcBorders>
              <w:top w:val="single" w:color="CCCCCC" w:sz="1"/>
              <w:left w:val="single" w:color="CCCCCC" w:sz="1"/>
              <w:bottom w:val="single" w:color="CCCCCC" w:sz="1"/>
              <w:right w:val="single" w:color="CCCCCC" w:sz="1"/>
            </w:tcBorders>
            <w:shd w:fill="006A4E" w:val="clear"/>
            <w:tcMar>
              <w:top w:type="dxa" w:w="140"/>
              <w:left w:type="dxa" w:w="180"/>
              <w:bottom w:type="dxa" w:w="140"/>
              <w:right w:type="dxa" w:w="180"/>
            </w:tcMar>
            <w:vAlign w:val="center"/>
          </w:tcPr>
          <w:p>
            <w:pPr>
              <w:jc w:val="center"/>
            </w:pPr>
            <w:r>
              <w:rPr>
                <w:rFonts w:ascii="Arial" w:cs="Arial" w:eastAsia="Arial" w:hAnsi="Arial"/>
                <w:b/>
                <w:bCs/>
                <w:color w:val="FFFFFF"/>
                <w:sz w:val="18"/>
                <w:szCs w:val="18"/>
              </w:rPr>
              <w:t xml:space="preserve">STAGE 2</w:t>
            </w:r>
          </w:p>
          <w:p>
            <w:pPr>
              <w:jc w:val="center"/>
            </w:pPr>
            <w:r>
              <w:rPr>
                <w:rFonts w:ascii="Arial" w:cs="Arial" w:eastAsia="Arial" w:hAnsi="Arial"/>
                <w:b/>
                <w:bCs/>
                <w:color w:val="FFFFFF"/>
                <w:sz w:val="24"/>
                <w:szCs w:val="24"/>
              </w:rPr>
              <w:t xml:space="preserve">🔧 Data Processing</w:t>
            </w:r>
          </w:p>
        </w:tc>
        <w:tc>
          <w:tcPr>
            <w:tcW w:type="dxa" w:w="3360"/>
            <w:tcBorders>
              <w:top w:val="single" w:color="CCCCCC" w:sz="1"/>
              <w:left w:val="single" w:color="CCCCCC" w:sz="1"/>
              <w:bottom w:val="single" w:color="CCCCCC" w:sz="1"/>
              <w:right w:val="single" w:color="CCCCCC" w:sz="1"/>
            </w:tcBorders>
            <w:shd w:fill="006A4E" w:val="clear"/>
            <w:tcMar>
              <w:top w:type="dxa" w:w="140"/>
              <w:left w:type="dxa" w:w="180"/>
              <w:bottom w:type="dxa" w:w="140"/>
              <w:right w:type="dxa" w:w="180"/>
            </w:tcMar>
            <w:vAlign w:val="center"/>
          </w:tcPr>
          <w:p>
            <w:pPr>
              <w:jc w:val="center"/>
            </w:pPr>
            <w:r>
              <w:rPr>
                <w:rFonts w:ascii="Arial" w:cs="Arial" w:eastAsia="Arial" w:hAnsi="Arial"/>
                <w:b/>
                <w:bCs/>
                <w:color w:val="FFFFFF"/>
                <w:sz w:val="18"/>
                <w:szCs w:val="18"/>
              </w:rPr>
              <w:t xml:space="preserve">STAGE 3</w:t>
            </w:r>
          </w:p>
          <w:p>
            <w:pPr>
              <w:jc w:val="center"/>
            </w:pPr>
            <w:r>
              <w:rPr>
                <w:rFonts w:ascii="Arial" w:cs="Arial" w:eastAsia="Arial" w:hAnsi="Arial"/>
                <w:b/>
                <w:bCs/>
                <w:color w:val="FFFFFF"/>
                <w:sz w:val="24"/>
                <w:szCs w:val="24"/>
              </w:rPr>
              <w:t xml:space="preserve">📊 Business Dashboard</w:t>
            </w:r>
          </w:p>
        </w:tc>
      </w:tr>
      <w:tr>
        <w:tc>
          <w:tcPr>
            <w:tcW w:type="dxa" w:w="3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r>
              <w:rPr>
                <w:rFonts w:ascii="Arial" w:cs="Arial" w:eastAsia="Arial" w:hAnsi="Arial"/>
                <w:sz w:val="20"/>
                <w:szCs w:val="20"/>
              </w:rPr>
              <w:t xml:space="preserve">Raw workforce data is automatically pulled from source HR and operational systems. No manual exports, no spreadsheets — data flows in continuously.</w:t>
            </w:r>
          </w:p>
        </w:tc>
        <w:tc>
          <w:tcPr>
            <w:tcW w:type="dxa" w:w="3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r>
              <w:rPr>
                <w:rFonts w:ascii="Arial" w:cs="Arial" w:eastAsia="Arial" w:hAnsi="Arial"/>
                <w:sz w:val="20"/>
                <w:szCs w:val="20"/>
              </w:rPr>
              <w:t xml:space="preserve">The raw data is cleaned, standardised and transformed into consistent, reliable metrics. This ensures every number on the dashboard is accurate, comparable and trustworthy.</w:t>
            </w:r>
          </w:p>
        </w:tc>
        <w:tc>
          <w:tcPr>
            <w:tcW w:type="dxa" w:w="3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r>
              <w:rPr>
                <w:rFonts w:ascii="Arial" w:cs="Arial" w:eastAsia="Arial" w:hAnsi="Arial"/>
                <w:sz w:val="20"/>
                <w:szCs w:val="20"/>
              </w:rPr>
              <w:t xml:space="preserve">Clean, processed data feeds directly into interactive Tableau dashboards, giving HR leaders and executives instant access to workforce insights — anywhere, anytime.</w:t>
            </w:r>
          </w:p>
        </w:tc>
      </w:tr>
    </w:tbl>
    <w:p>
      <w:pPr>
        <w:spacing w:before="80" w:after="80"/>
      </w:pPr>
      <w:r>
        <w:t xml:space="preserve"/>
      </w:r>
    </w:p>
    <w:p>
      <w:pPr>
        <w:spacing w:before="80" w:after="80"/>
      </w:pPr>
      <w:r>
        <w:t xml:space="preserve"/>
      </w:r>
    </w:p>
    <w:p>
      <w:pPr>
        <w:pStyle w:val="Heading1"/>
        <w:pBdr>
          <w:bottom w:val="single" w:color="006A4E" w:sz="6" w:space="6"/>
        </w:pBdr>
        <w:spacing w:before="360" w:after="160"/>
      </w:pPr>
      <w:r>
        <w:rPr>
          <w:rFonts w:ascii="Arial" w:cs="Arial" w:eastAsia="Arial" w:hAnsi="Arial"/>
          <w:b/>
          <w:bCs/>
          <w:color w:val="006A4E"/>
          <w:sz w:val="32"/>
          <w:szCs w:val="32"/>
        </w:rPr>
        <w:t xml:space="preserve">5. Strategic Value to Lloyds Banking Group</w:t>
      </w:r>
    </w:p>
    <w:p>
      <w:pPr>
        <w:spacing w:before="80" w:after="80"/>
      </w:pPr>
      <w:r>
        <w:rPr>
          <w:rFonts w:ascii="Arial" w:cs="Arial" w:eastAsia="Arial" w:hAnsi="Arial"/>
          <w:sz w:val="22"/>
          <w:szCs w:val="22"/>
        </w:rPr>
        <w:t xml:space="preserve">The work delivered by LTC's data engineering team directly supports Lloyds Banking Group's people strategy at an enterprise level. The platform:</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Enables Lloyds to manage a large, dispersed workforce with the same precision as a small team — by putting the right data in front of the right people at the right time.</w:t>
      </w:r>
    </w:p>
    <w:p>
      <w:pPr>
        <w:pStyle w:val="ListParagraph"/>
        <w:numPr>
          <w:ilvl w:val="0"/>
          <w:numId w:val="2"/>
        </w:numPr>
        <w:spacing w:before="60" w:after="60"/>
      </w:pPr>
      <w:r>
        <w:rPr>
          <w:rFonts w:ascii="Arial" w:cs="Arial" w:eastAsia="Arial" w:hAnsi="Arial"/>
          <w:sz w:val="22"/>
          <w:szCs w:val="22"/>
        </w:rPr>
        <w:t xml:space="preserve">Reduces reliance on manual, error-prone processes that previously consumed valuable HR and management time.</w:t>
      </w:r>
    </w:p>
    <w:p>
      <w:pPr>
        <w:pStyle w:val="ListParagraph"/>
        <w:numPr>
          <w:ilvl w:val="0"/>
          <w:numId w:val="2"/>
        </w:numPr>
        <w:spacing w:before="60" w:after="60"/>
      </w:pPr>
      <w:r>
        <w:rPr>
          <w:rFonts w:ascii="Arial" w:cs="Arial" w:eastAsia="Arial" w:hAnsi="Arial"/>
          <w:sz w:val="22"/>
          <w:szCs w:val="22"/>
        </w:rPr>
        <w:t xml:space="preserve">Supports Lloyds' commitment to employee wellbeing by surfacing early warning signals in sickness and engagement data.</w:t>
      </w:r>
    </w:p>
    <w:p>
      <w:pPr>
        <w:pStyle w:val="ListParagraph"/>
        <w:numPr>
          <w:ilvl w:val="0"/>
          <w:numId w:val="2"/>
        </w:numPr>
        <w:spacing w:before="60" w:after="60"/>
      </w:pPr>
      <w:r>
        <w:rPr>
          <w:rFonts w:ascii="Arial" w:cs="Arial" w:eastAsia="Arial" w:hAnsi="Arial"/>
          <w:sz w:val="22"/>
          <w:szCs w:val="22"/>
        </w:rPr>
        <w:t xml:space="preserve">Strengthens regulatory compliance by ensuring mandatory training and workforce obligations are tracked automatically.</w:t>
      </w:r>
    </w:p>
    <w:p>
      <w:pPr>
        <w:pStyle w:val="ListParagraph"/>
        <w:numPr>
          <w:ilvl w:val="0"/>
          <w:numId w:val="2"/>
        </w:numPr>
        <w:spacing w:before="60" w:after="60"/>
      </w:pPr>
      <w:r>
        <w:rPr>
          <w:rFonts w:ascii="Arial" w:cs="Arial" w:eastAsia="Arial" w:hAnsi="Arial"/>
          <w:sz w:val="22"/>
          <w:szCs w:val="22"/>
        </w:rPr>
        <w:t xml:space="preserve">Positions LTC as a Centre of Excellence for data-driven HR — a capability being built in India that serves the entire Lloyds Banking Group.</w:t>
      </w:r>
    </w:p>
    <w:p>
      <w:pPr>
        <w:spacing w:before="80" w:after="80"/>
      </w:pPr>
      <w:r>
        <w:t xml:space="preserve"/>
      </w:r>
    </w:p>
    <w:p>
      <w:pPr>
        <w:spacing w:before="80" w:after="80"/>
      </w:pPr>
      <w:r>
        <w:t xml:space="preserve"/>
      </w:r>
    </w:p>
    <w:p>
      <w:pPr>
        <w:pStyle w:val="Heading1"/>
        <w:pBdr>
          <w:bottom w:val="single" w:color="006A4E" w:sz="6" w:space="6"/>
        </w:pBdr>
        <w:spacing w:before="360" w:after="160"/>
      </w:pPr>
      <w:r>
        <w:rPr>
          <w:rFonts w:ascii="Arial" w:cs="Arial" w:eastAsia="Arial" w:hAnsi="Arial"/>
          <w:b/>
          <w:bCs/>
          <w:color w:val="006A4E"/>
          <w:sz w:val="32"/>
          <w:szCs w:val="32"/>
        </w:rPr>
        <w:t xml:space="preserve">6. Summary</w:t>
      </w:r>
    </w:p>
    <w:p>
      <w:pPr>
        <w:pBdr>
          <w:left w:val="single" w:color="006A4E" w:sz="18" w:space="12"/>
        </w:pBdr>
        <w:shd w:fill="E8F4F0" w:val="clear"/>
        <w:spacing w:before="80" w:after="80"/>
        <w:ind w:left="320"/>
      </w:pPr>
      <w:r>
        <w:rPr>
          <w:rFonts w:ascii="Arial" w:cs="Arial" w:eastAsia="Arial" w:hAnsi="Arial"/>
          <w:i/>
          <w:iCs/>
          <w:sz w:val="22"/>
          <w:szCs w:val="22"/>
        </w:rPr>
        <w:t xml:space="preserve">The LTC Data Engineering team has built a platform that transforms disconnected, raw workforce data into a clear, real-time picture of the organisation's people. Every metric we deliver — from headcount to sickness to learning — directly empowers Lloyds Bank leaders to make faster, smarter, and fairer decisions about their people. This is not just a technical achievement. It is a business capability that sits at the heart of how Lloyds manages and grows its workforce.</w:t>
      </w:r>
    </w:p>
    <w:p>
      <w:pPr>
        <w:spacing w:before="80" w:after="80"/>
      </w:pPr>
      <w:r>
        <w:t xml:space="preserve"/>
      </w:r>
    </w:p>
    <w:p>
      <w:pPr>
        <w:spacing w:before="80" w:after="80"/>
      </w:pPr>
      <w:r>
        <w:t xml:space="preserve"/>
      </w:r>
    </w:p>
    <w:p>
      <w:pPr>
        <w:pBdr>
          <w:top w:val="single" w:color="CCCCCC" w:sz="4" w:space="8"/>
        </w:pBdr>
        <w:spacing w:before="160" w:after="40"/>
        <w:jc w:val="center"/>
      </w:pPr>
      <w:r>
        <w:rPr>
          <w:rFonts w:ascii="Arial" w:cs="Arial" w:eastAsia="Arial" w:hAnsi="Arial"/>
          <w:color w:val="888888"/>
          <w:sz w:val="18"/>
          <w:szCs w:val="18"/>
        </w:rPr>
        <w:t xml:space="preserve">Lloyds Technology Centre (LTC), India  |  Data Engineering Team  |  Workforce Intelligence Platform</w:t>
      </w:r>
    </w:p>
    <w:p>
      <w:pPr>
        <w:jc w:val="center"/>
      </w:pPr>
      <w:r>
        <w:rPr>
          <w:rFonts w:ascii="Arial" w:cs="Arial" w:eastAsia="Arial" w:hAnsi="Arial"/>
          <w:color w:val="AAAAAA"/>
          <w:sz w:val="16"/>
          <w:szCs w:val="16"/>
        </w:rPr>
        <w:t xml:space="preserve">INTERNAL USE ONLY — PREPARED FOR EXECUTIVE FLOOR WALK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06A4E"/>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006A4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2026-03-13T14:06:13.965Z</dcterms:created>
  <dcterms:modified xsi:type="dcterms:W3CDTF">2026-03-13T14:06:13.966Z</dcterms:modified>
</cp:coreProperties>
</file>

<file path=docProps/custom.xml><?xml version="1.0" encoding="utf-8"?>
<Properties xmlns="http://schemas.openxmlformats.org/officeDocument/2006/custom-properties" xmlns:vt="http://schemas.openxmlformats.org/officeDocument/2006/docPropsVTypes"/>
</file>