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Product Requirements Document</w:t>
      </w:r>
    </w:p>
    <w:p>
      <w:pPr>
        <w:spacing w:after="200"/>
      </w:pPr>
      <w:r>
        <w:rPr>
          <w:b/>
          <w:bCs/>
          <w:sz w:val="32"/>
          <w:szCs w:val="32"/>
        </w:rPr>
        <w:t xml:space="preserve">KDDL Dials Talent Transformation Platform</w:t>
      </w:r>
    </w:p>
    <w:p>
      <w:pPr>
        <w:spacing w:after="140"/>
      </w:pPr>
      <w:r>
        <w:rPr>
          <w:b w:val="false"/>
          <w:bCs w:val="false"/>
          <w:i w:val="false"/>
          <w:iCs w:val="false"/>
        </w:rPr>
        <w:t xml:space="preserve">Prepared for: Planet Ganges Consulting | Client: KDDL Limited (Dials 1 – Parwanoo, Dials 2 – Derabassi)</w:t>
      </w:r>
    </w:p>
    <w:p>
      <w:pPr>
        <w:spacing w:after="140"/>
      </w:pPr>
      <w:r>
        <w:rPr>
          <w:b w:val="false"/>
          <w:bCs w:val="false"/>
          <w:i w:val="false"/>
          <w:iCs w:val="false"/>
        </w:rPr>
        <w:t xml:space="preserve">Document status: Draft v1.0 for internal review | Confidential</w:t>
      </w:r>
    </w:p>
    <w:p>
      <w:pPr>
        <w:spacing w:after="140"/>
      </w:pPr>
      <w:r>
        <w:rPr>
          <w:b w:val="false"/>
          <w:bCs w:val="false"/>
          <w:i w:val="false"/>
          <w:iCs w:val="false"/>
        </w:rPr>
        <w:t xml:space="preserve">Prepared as: Senior Business Analyst — Career Architecture &amp; Organisation Effectiveness</w:t>
      </w:r>
    </w:p>
    <w:p>
      <w:pPr>
        <w:spacing w:after="200"/>
      </w:pPr>
    </w:p>
    <w:p>
      <w:pPr>
        <w:pStyle w:val="Heading1"/>
        <w:spacing w:after="160" w:before="320"/>
      </w:pPr>
      <w:r>
        <w:t xml:space="preserve">1. Purpose</w:t>
      </w:r>
    </w:p>
    <w:p>
      <w:pPr>
        <w:spacing w:after="140"/>
      </w:pPr>
      <w:r>
        <w:rPr>
          <w:b w:val="false"/>
          <w:bCs w:val="false"/>
          <w:i w:val="false"/>
          <w:iCs w:val="false"/>
        </w:rPr>
        <w:t xml:space="preserve">This PRD defines the requirements for a software platform that automates the Talent Transformation methodology Planet Ganges Consulting (PGC) has delivered manually for KDDL Limited between November 2025 and September 2026. The methodology — built on the ASK (Attitude, Skill, Knowledge) framework — currently exists as a set of templates, spreadsheets, facilitated workshops, and Word/Excel deliverables produced by PGC consultants. This document specifies the platform that turns that one-time consulting engagement into a governed, repeatable, multi-tenant system of record, using KDDL Dials as the first deployment.</w:t>
      </w:r>
    </w:p>
    <w:p>
      <w:pPr>
        <w:spacing w:after="140"/>
      </w:pPr>
      <w:r>
        <w:rPr>
          <w:b w:val="false"/>
          <w:bCs w:val="false"/>
          <w:i w:val="false"/>
          <w:iCs w:val="false"/>
        </w:rPr>
        <w:t xml:space="preserve">The requirements below are derived directly from two source artefacts supplied by the client: the as-delivered process flow (18 manual stages across three phases) and the client's own technology re-mapping of that process (17 platform steps, with ownership already assigned across Client / PGC / System / Joint). Where the source material leaves a rule underspecified, this is flagged explicitly as an open question rather than assumed.</w:t>
      </w:r>
    </w:p>
    <w:p>
      <w:pPr>
        <w:pStyle w:val="Heading1"/>
        <w:spacing w:after="160" w:before="320"/>
      </w:pPr>
      <w:r>
        <w:t xml:space="preserve">2. Business Context</w:t>
      </w:r>
    </w:p>
    <w:p>
      <w:pPr>
        <w:spacing w:after="140"/>
      </w:pPr>
      <w:r>
        <w:rPr>
          <w:b w:val="false"/>
          <w:bCs w:val="false"/>
          <w:i w:val="false"/>
          <w:iCs w:val="false"/>
        </w:rPr>
        <w:t xml:space="preserve">KDDL Limited manufactures precision watch dials at two divisions — Dials 1 (Parwanoo) and Dials 2 (Derabassi) — serving both domestic and Swiss export customers. Export tolerances are non-negotiable and a single quality failure can damage long-standing brand relationships, which makes workforce capability and continuity a business-critical concern rather than an administrative one.</w:t>
      </w:r>
    </w:p>
    <w:p>
      <w:pPr>
        <w:spacing w:after="140"/>
      </w:pPr>
      <w:r>
        <w:rPr>
          <w:b w:val="false"/>
          <w:bCs w:val="false"/>
          <w:i w:val="false"/>
          <w:iCs w:val="false"/>
        </w:rPr>
        <w:t xml:space="preserve">At the start of the engagement neither division had formal job descriptions or a defined capability standard for any role. Over three phases, PGC built:</w:t>
      </w:r>
    </w:p>
    <w:p>
      <w:pPr>
        <w:pStyle w:val="ListParagraph"/>
        <w:numPr>
          <w:ilvl w:val="0"/>
          <w:numId w:val="1"/>
        </w:numPr>
        <w:spacing w:after="60"/>
      </w:pPr>
      <w:r>
        <w:t xml:space="preserve">Phase 1 (Nov 2025–Mar 2026): organisation and manpower mapping, a retirement risk register, 84 role descriptions, the ASK framework and dictionary, and manager/employee training on the ASK conversation.</w:t>
      </w:r>
    </w:p>
    <w:p>
      <w:pPr>
        <w:pStyle w:val="ListParagraph"/>
        <w:numPr>
          <w:ilvl w:val="0"/>
          <w:numId w:val="1"/>
        </w:numPr>
        <w:spacing w:after="60"/>
      </w:pPr>
      <w:r>
        <w:t xml:space="preserve">Phase 2 (Apr–Jul 2026): a consolidated ASK gap assessment across 100 people, the Training Priority Register, 18 tiered critical roles, the succession slate, and a phased hiring plan.</w:t>
      </w:r>
    </w:p>
    <w:p>
      <w:pPr>
        <w:pStyle w:val="ListParagraph"/>
        <w:numPr>
          <w:ilvl w:val="0"/>
          <w:numId w:val="1"/>
        </w:numPr>
        <w:spacing w:after="60"/>
      </w:pPr>
      <w:r>
        <w:t xml:space="preserve">Phase 3 (Aug–Sep 2026): the L&amp;D diagnostic, a 70-20-10 four-lane learning architecture, the FY2026-27 training calendar, and the onboarding/cultural-assimilation process.</w:t>
      </w:r>
    </w:p>
    <w:p>
      <w:pPr>
        <w:spacing w:after="140"/>
      </w:pPr>
      <w:r>
        <w:rPr>
          <w:b w:val="false"/>
          <w:bCs w:val="false"/>
          <w:i w:val="false"/>
          <w:iCs w:val="false"/>
        </w:rPr>
        <w:t xml:space="preserve">Everything rests on one framework — ASK. Attitude is captured as five Success Behaviours common to every role. Skill and Knowledge are captured as functional clusters specific to each department. Every behaviour and skill has a fixed Desired Level (DL) per grade band; assessment measures Self (SAL) and Manager (MAL) levels against that fixed target, and the Gap (MAL − DL) drives every downstream decision — training priority, capability-gap reporting, critical-role risk, and succession readiness.</w:t>
      </w:r>
    </w:p>
    <w:p>
      <w:pPr>
        <w:pStyle w:val="Heading1"/>
        <w:spacing w:after="160" w:before="320"/>
      </w:pPr>
      <w:r>
        <w:t xml:space="preserve">3. Problem Statement</w:t>
      </w:r>
    </w:p>
    <w:p>
      <w:pPr>
        <w:spacing w:after="140"/>
      </w:pPr>
      <w:r>
        <w:rPr>
          <w:b w:val="false"/>
          <w:bCs w:val="false"/>
          <w:i w:val="false"/>
          <w:iCs w:val="false"/>
        </w:rPr>
        <w:t xml:space="preserve">The programme has produced genuinely valuable outputs, but as currently run they are static, manually-produced artefacts with four structural weaknesses the platform must solve:</w:t>
      </w:r>
    </w:p>
    <w:p>
      <w:pPr>
        <w:pStyle w:val="ListParagraph"/>
        <w:numPr>
          <w:ilvl w:val="0"/>
          <w:numId w:val="1"/>
        </w:numPr>
        <w:spacing w:after="60"/>
      </w:pPr>
      <w:r>
        <w:t xml:space="preserve">Fragility of consolidation: the Phase 2 gap file required manual reconciliation of uneven data — missing manager ratings, inconsistent level formats (numeric vs. “L2”/“L3” text), duplicate names, and orphaned records not in the master file. This was handled correctly, but by hand, once.</w:t>
      </w:r>
    </w:p>
    <w:p>
      <w:pPr>
        <w:pStyle w:val="ListParagraph"/>
        <w:numPr>
          <w:ilvl w:val="0"/>
          <w:numId w:val="1"/>
        </w:numPr>
        <w:spacing w:after="60"/>
      </w:pPr>
      <w:r>
        <w:t xml:space="preserve">No recurrence mechanism: the framework is designed to be refreshed at every annual assessment cycle, but nothing about the current delivery (Excel workbooks, Word documents, facilitated sessions) makes the next cycle materially faster than the first.</w:t>
      </w:r>
    </w:p>
    <w:p>
      <w:pPr>
        <w:pStyle w:val="ListParagraph"/>
        <w:numPr>
          <w:ilvl w:val="0"/>
          <w:numId w:val="1"/>
        </w:numPr>
        <w:spacing w:after="60"/>
      </w:pPr>
      <w:r>
        <w:t xml:space="preserve">No real-time visibility: KDDL leadership currently sees the programme through monthly review meetings and static reports; there is no live view of assessment completion, capability gaps, or succession risk between reporting cycles.</w:t>
      </w:r>
    </w:p>
    <w:p>
      <w:pPr>
        <w:pStyle w:val="ListParagraph"/>
        <w:numPr>
          <w:ilvl w:val="0"/>
          <w:numId w:val="1"/>
        </w:numPr>
        <w:spacing w:after="60"/>
      </w:pPr>
      <w:r>
        <w:t xml:space="preserve">PGC's methodology is not reusable IP in its current form: the priority-scoring model, the KS-cluster generation logic, and the succession-readiness engine live in spreadsheets and a consultant's working process rather than a governed, versioned system that could be deployed for another PGC client.</w:t>
      </w:r>
    </w:p>
    <w:p>
      <w:pPr>
        <w:pStyle w:val="Heading1"/>
        <w:spacing w:after="160" w:before="320"/>
      </w:pPr>
      <w:r>
        <w:t xml:space="preserve">4. Goals &amp;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2937" w:color="auto" w:val="clear"/>
            <w:vAlign w:val="center"/>
          </w:tcPr>
          <w:p>
            <w:r>
              <w:rPr>
                <w:b/>
                <w:bCs/>
                <w:color w:val="FFFFFF"/>
                <w:sz w:val="18"/>
                <w:szCs w:val="18"/>
              </w:rPr>
              <w:t xml:space="preserve">Goal</w:t>
            </w:r>
          </w:p>
        </w:tc>
        <w:tc>
          <w:tcPr>
            <w:tcW w:type="dxa" w:w="4826"/>
            <w:shd w:fill="1F2937" w:color="auto" w:val="clear"/>
            <w:vAlign w:val="center"/>
          </w:tcPr>
          <w:p>
            <w:r>
              <w:rPr>
                <w:b/>
                <w:bCs/>
                <w:color w:val="FFFFFF"/>
                <w:sz w:val="18"/>
                <w:szCs w:val="18"/>
              </w:rPr>
              <w:t xml:space="preserve">Success metric</w:t>
            </w:r>
          </w:p>
        </w:tc>
      </w:tr>
      <w:tr>
        <w:tc>
          <w:tcPr>
            <w:tcW w:type="dxa" w:w="4200"/>
            <w:vAlign w:val="center"/>
          </w:tcPr>
          <w:p>
            <w:r>
              <w:rPr>
                <w:b w:val="false"/>
                <w:bCs w:val="false"/>
                <w:color w:val="000000"/>
                <w:sz w:val="18"/>
                <w:szCs w:val="18"/>
              </w:rPr>
              <w:t xml:space="preserve">Digitise employee, role and org data as a system of record</w:t>
            </w:r>
          </w:p>
        </w:tc>
        <w:tc>
          <w:tcPr>
            <w:tcW w:type="dxa" w:w="4826"/>
            <w:vAlign w:val="center"/>
          </w:tcPr>
          <w:p>
            <w:r>
              <w:rPr>
                <w:b w:val="false"/>
                <w:bCs w:val="false"/>
                <w:color w:val="000000"/>
                <w:sz w:val="18"/>
                <w:szCs w:val="18"/>
              </w:rPr>
              <w:t xml:space="preserve">Data collection cycle drops from a multi-week manual compilation to a self-service upload validated within days</w:t>
            </w:r>
          </w:p>
        </w:tc>
      </w:tr>
      <w:tr>
        <w:tc>
          <w:tcPr>
            <w:tcW w:type="dxa" w:w="4200"/>
            <w:vAlign w:val="center"/>
          </w:tcPr>
          <w:p>
            <w:r>
              <w:rPr>
                <w:b w:val="false"/>
                <w:bCs w:val="false"/>
                <w:color w:val="000000"/>
                <w:sz w:val="18"/>
                <w:szCs w:val="18"/>
              </w:rPr>
              <w:t xml:space="preserve">Automate gap computation and priority scoring</w:t>
            </w:r>
          </w:p>
        </w:tc>
        <w:tc>
          <w:tcPr>
            <w:tcW w:type="dxa" w:w="4826"/>
            <w:vAlign w:val="center"/>
          </w:tcPr>
          <w:p>
            <w:r>
              <w:rPr>
                <w:b w:val="false"/>
                <w:bCs w:val="false"/>
                <w:color w:val="000000"/>
                <w:sz w:val="18"/>
                <w:szCs w:val="18"/>
              </w:rPr>
              <w:t xml:space="preserve">Zero manual reconciliation errors (name-matching, missing ratings) at consolidation; gap and priority score always system-computed, never hand-calculated</w:t>
            </w:r>
          </w:p>
        </w:tc>
      </w:tr>
      <w:tr>
        <w:tc>
          <w:tcPr>
            <w:tcW w:type="dxa" w:w="4200"/>
            <w:vAlign w:val="center"/>
          </w:tcPr>
          <w:p>
            <w:r>
              <w:rPr>
                <w:b w:val="false"/>
                <w:bCs w:val="false"/>
                <w:color w:val="000000"/>
                <w:sz w:val="18"/>
                <w:szCs w:val="18"/>
              </w:rPr>
              <w:t xml:space="preserve">Give leadership real-time visibility</w:t>
            </w:r>
          </w:p>
        </w:tc>
        <w:tc>
          <w:tcPr>
            <w:tcW w:type="dxa" w:w="4826"/>
            <w:vAlign w:val="center"/>
          </w:tcPr>
          <w:p>
            <w:r>
              <w:rPr>
                <w:b w:val="false"/>
                <w:bCs w:val="false"/>
                <w:color w:val="000000"/>
                <w:sz w:val="18"/>
                <w:szCs w:val="18"/>
              </w:rPr>
              <w:t xml:space="preserve">Chairman/sponsor dashboard reflects assessment completion, gaps and succession risk with no more than 24-hour data latency</w:t>
            </w:r>
          </w:p>
        </w:tc>
      </w:tr>
      <w:tr>
        <w:tc>
          <w:tcPr>
            <w:tcW w:type="dxa" w:w="4200"/>
            <w:vAlign w:val="center"/>
          </w:tcPr>
          <w:p>
            <w:r>
              <w:rPr>
                <w:b w:val="false"/>
                <w:bCs w:val="false"/>
                <w:color w:val="000000"/>
                <w:sz w:val="18"/>
                <w:szCs w:val="18"/>
              </w:rPr>
              <w:t xml:space="preserve">Make the annual cycle self-service for KDDL, with PGC oversight preserved on interpretive steps</w:t>
            </w:r>
          </w:p>
        </w:tc>
        <w:tc>
          <w:tcPr>
            <w:tcW w:type="dxa" w:w="4826"/>
            <w:vAlign w:val="center"/>
          </w:tcPr>
          <w:p>
            <w:r>
              <w:rPr>
                <w:b w:val="false"/>
                <w:bCs w:val="false"/>
                <w:color w:val="000000"/>
                <w:sz w:val="18"/>
                <w:szCs w:val="18"/>
              </w:rPr>
              <w:t xml:space="preserve">Assessment cycle (circulation → self → manager → reconciliation → sign-off) runs without a PGC consultant touching the data manually</w:t>
            </w:r>
          </w:p>
        </w:tc>
      </w:tr>
      <w:tr>
        <w:tc>
          <w:tcPr>
            <w:tcW w:type="dxa" w:w="4200"/>
            <w:vAlign w:val="center"/>
          </w:tcPr>
          <w:p>
            <w:r>
              <w:rPr>
                <w:b w:val="false"/>
                <w:bCs w:val="false"/>
                <w:color w:val="000000"/>
                <w:sz w:val="18"/>
                <w:szCs w:val="18"/>
              </w:rPr>
              <w:t xml:space="preserve">Protect PGC's methodology as hidden, admin-only IP</w:t>
            </w:r>
          </w:p>
        </w:tc>
        <w:tc>
          <w:tcPr>
            <w:tcW w:type="dxa" w:w="4826"/>
            <w:vAlign w:val="center"/>
          </w:tcPr>
          <w:p>
            <w:r>
              <w:rPr>
                <w:b w:val="false"/>
                <w:bCs w:val="false"/>
                <w:color w:val="000000"/>
                <w:sz w:val="18"/>
                <w:szCs w:val="18"/>
              </w:rPr>
              <w:t xml:space="preserve">KS-cluster generation logic and prompt sequence are never exposed to a client-role user, verified by access-control testing</w:t>
            </w:r>
          </w:p>
        </w:tc>
      </w:tr>
      <w:tr>
        <w:tc>
          <w:tcPr>
            <w:tcW w:type="dxa" w:w="4200"/>
            <w:vAlign w:val="center"/>
          </w:tcPr>
          <w:p>
            <w:r>
              <w:rPr>
                <w:b w:val="false"/>
                <w:bCs w:val="false"/>
                <w:color w:val="000000"/>
                <w:sz w:val="18"/>
                <w:szCs w:val="18"/>
              </w:rPr>
              <w:t xml:space="preserve">Support reuse beyond KDDL</w:t>
            </w:r>
          </w:p>
        </w:tc>
        <w:tc>
          <w:tcPr>
            <w:tcW w:type="dxa" w:w="4826"/>
            <w:vAlign w:val="center"/>
          </w:tcPr>
          <w:p>
            <w:r>
              <w:rPr>
                <w:b w:val="false"/>
                <w:bCs w:val="false"/>
                <w:color w:val="000000"/>
                <w:sz w:val="18"/>
                <w:szCs w:val="18"/>
              </w:rPr>
              <w:t xml:space="preserve">A second tenant can be onboarded using the same platform without new engineering, only configuration</w:t>
            </w:r>
          </w:p>
        </w:tc>
      </w:tr>
    </w:tbl>
    <w:p>
      <w:pPr>
        <w:pStyle w:val="Heading1"/>
        <w:spacing w:after="160" w:before="320"/>
      </w:pPr>
      <w:r>
        <w:t xml:space="preserve">5. Scope</w:t>
      </w:r>
    </w:p>
    <w:p>
      <w:pPr>
        <w:pStyle w:val="Heading2"/>
        <w:spacing w:after="120" w:before="240"/>
      </w:pPr>
      <w:r>
        <w:t xml:space="preserve">5.1 In scope</w:t>
      </w:r>
    </w:p>
    <w:p>
      <w:pPr>
        <w:spacing w:after="140"/>
      </w:pPr>
      <w:r>
        <w:rPr>
          <w:b w:val="false"/>
          <w:bCs w:val="false"/>
          <w:i w:val="false"/>
          <w:iCs w:val="false"/>
        </w:rPr>
        <w:t xml:space="preserve">Scope is anchored to the client's own “Technology Flow (Platform)” re-mapping, which states explicitly: critical roles, bench strength, competency mapping, ASK and gaps. In-scope capability areas:</w:t>
      </w:r>
    </w:p>
    <w:p>
      <w:pPr>
        <w:pStyle w:val="ListParagraph"/>
        <w:numPr>
          <w:ilvl w:val="0"/>
          <w:numId w:val="1"/>
        </w:numPr>
        <w:spacing w:after="60"/>
      </w:pPr>
      <w:r>
        <w:t xml:space="preserve">Multi-tenant account and access setup</w:t>
      </w:r>
    </w:p>
    <w:p>
      <w:pPr>
        <w:pStyle w:val="ListParagraph"/>
        <w:numPr>
          <w:ilvl w:val="0"/>
          <w:numId w:val="1"/>
        </w:numPr>
        <w:spacing w:after="60"/>
      </w:pPr>
      <w:r>
        <w:t xml:space="preserve">Employee, role and vacancy data ingestion (CSV) and validation</w:t>
      </w:r>
    </w:p>
    <w:p>
      <w:pPr>
        <w:pStyle w:val="ListParagraph"/>
        <w:numPr>
          <w:ilvl w:val="0"/>
          <w:numId w:val="1"/>
        </w:numPr>
        <w:spacing w:after="60"/>
      </w:pPr>
      <w:r>
        <w:t xml:space="preserve">System-generated org structure, manpower pyramid and retirement risk register</w:t>
      </w:r>
    </w:p>
    <w:p>
      <w:pPr>
        <w:pStyle w:val="ListParagraph"/>
        <w:numPr>
          <w:ilvl w:val="0"/>
          <w:numId w:val="1"/>
        </w:numPr>
        <w:spacing w:after="60"/>
      </w:pPr>
      <w:r>
        <w:t xml:space="preserve">Role description capture on-platform, with optional AI-assisted refinement</w:t>
      </w:r>
    </w:p>
    <w:p>
      <w:pPr>
        <w:pStyle w:val="ListParagraph"/>
        <w:numPr>
          <w:ilvl w:val="0"/>
          <w:numId w:val="1"/>
        </w:numPr>
        <w:spacing w:after="60"/>
      </w:pPr>
      <w:r>
        <w:t xml:space="preserve">Role overlap / duplicate audit tooling</w:t>
      </w:r>
    </w:p>
    <w:p>
      <w:pPr>
        <w:pStyle w:val="ListParagraph"/>
        <w:numPr>
          <w:ilvl w:val="0"/>
          <w:numId w:val="1"/>
        </w:numPr>
        <w:spacing w:after="60"/>
      </w:pPr>
      <w:r>
        <w:t xml:space="preserve">ASK matrix configuration: desired levels per grade band, per skill and behaviour</w:t>
      </w:r>
    </w:p>
    <w:p>
      <w:pPr>
        <w:pStyle w:val="ListParagraph"/>
        <w:numPr>
          <w:ilvl w:val="0"/>
          <w:numId w:val="1"/>
        </w:numPr>
        <w:spacing w:after="60"/>
      </w:pPr>
      <w:r>
        <w:t xml:space="preserve">Admin-only, AI-assisted generation of functional Knowledge &amp; Skill clusters (PGC-hidden)</w:t>
      </w:r>
    </w:p>
    <w:p>
      <w:pPr>
        <w:pStyle w:val="ListParagraph"/>
        <w:numPr>
          <w:ilvl w:val="0"/>
          <w:numId w:val="1"/>
        </w:numPr>
        <w:spacing w:after="60"/>
      </w:pPr>
      <w:r>
        <w:t xml:space="preserve">ASK dictionary report generation</w:t>
      </w:r>
    </w:p>
    <w:p>
      <w:pPr>
        <w:pStyle w:val="ListParagraph"/>
        <w:numPr>
          <w:ilvl w:val="0"/>
          <w:numId w:val="1"/>
        </w:numPr>
        <w:spacing w:after="60"/>
      </w:pPr>
      <w:r>
        <w:t xml:space="preserve">Client review-and-approval workflow to lock the framework</w:t>
      </w:r>
    </w:p>
    <w:p>
      <w:pPr>
        <w:pStyle w:val="ListParagraph"/>
        <w:numPr>
          <w:ilvl w:val="0"/>
          <w:numId w:val="1"/>
        </w:numPr>
        <w:spacing w:after="60"/>
      </w:pPr>
      <w:r>
        <w:t xml:space="preserve">On-platform assessment execution: self-assessment, manager assessment, reconciliation, sign-off</w:t>
      </w:r>
    </w:p>
    <w:p>
      <w:pPr>
        <w:pStyle w:val="ListParagraph"/>
        <w:numPr>
          <w:ilvl w:val="0"/>
          <w:numId w:val="1"/>
        </w:numPr>
        <w:spacing w:after="60"/>
      </w:pPr>
      <w:r>
        <w:t xml:space="preserve">Automated consolidation and gap computation, with explicit data-quality flagging</w:t>
      </w:r>
    </w:p>
    <w:p>
      <w:pPr>
        <w:pStyle w:val="ListParagraph"/>
        <w:numPr>
          <w:ilvl w:val="0"/>
          <w:numId w:val="1"/>
        </w:numPr>
        <w:spacing w:after="60"/>
      </w:pPr>
      <w:r>
        <w:t xml:space="preserve">Priority scoring engine (Training Priority Register)</w:t>
      </w:r>
    </w:p>
    <w:p>
      <w:pPr>
        <w:pStyle w:val="ListParagraph"/>
        <w:numPr>
          <w:ilvl w:val="0"/>
          <w:numId w:val="1"/>
        </w:numPr>
        <w:spacing w:after="60"/>
      </w:pPr>
      <w:r>
        <w:t xml:space="preserve">Critical-role definition support and tiering workflow</w:t>
      </w:r>
    </w:p>
    <w:p>
      <w:pPr>
        <w:pStyle w:val="ListParagraph"/>
        <w:numPr>
          <w:ilvl w:val="0"/>
          <w:numId w:val="1"/>
        </w:numPr>
        <w:spacing w:after="60"/>
      </w:pPr>
      <w:r>
        <w:t xml:space="preserve">Succession slate and readiness-level engine</w:t>
      </w:r>
    </w:p>
    <w:p>
      <w:pPr>
        <w:pStyle w:val="ListParagraph"/>
        <w:numPr>
          <w:ilvl w:val="0"/>
          <w:numId w:val="1"/>
        </w:numPr>
        <w:spacing w:after="60"/>
      </w:pPr>
      <w:r>
        <w:t xml:space="preserve">Persona-based reporting and insights dashboards (including the Chairman view)</w:t>
      </w:r>
    </w:p>
    <w:p>
      <w:pPr>
        <w:pStyle w:val="Heading2"/>
        <w:spacing w:after="120" w:before="240"/>
      </w:pPr>
      <w:r>
        <w:t xml:space="preserve">5.2 Out of scope (v1)</w:t>
      </w:r>
    </w:p>
    <w:p>
      <w:pPr>
        <w:spacing w:after="140"/>
      </w:pPr>
      <w:r>
        <w:rPr>
          <w:b w:val="false"/>
          <w:bCs w:val="false"/>
          <w:i w:val="false"/>
          <w:iCs w:val="false"/>
        </w:rPr>
        <w:t xml:space="preserve">The client's own technology flow states this explicitly: “No hiring, L&amp;D or onboarding.” Accordingly, the following Phase 2/3 outputs remain manual, PGC-delivered artefacts and are not platform features in v1:</w:t>
      </w:r>
    </w:p>
    <w:p>
      <w:pPr>
        <w:pStyle w:val="ListParagraph"/>
        <w:numPr>
          <w:ilvl w:val="0"/>
          <w:numId w:val="1"/>
        </w:numPr>
        <w:spacing w:after="60"/>
      </w:pPr>
      <w:r>
        <w:t xml:space="preserve">The phased hiring plan (Stage 2.7)</w:t>
      </w:r>
    </w:p>
    <w:p>
      <w:pPr>
        <w:pStyle w:val="ListParagraph"/>
        <w:numPr>
          <w:ilvl w:val="0"/>
          <w:numId w:val="1"/>
        </w:numPr>
        <w:spacing w:after="60"/>
      </w:pPr>
      <w:r>
        <w:t xml:space="preserve">Training Need Analysis, cohorting and the Lane D cohort master (Stage 3.1)</w:t>
      </w:r>
    </w:p>
    <w:p>
      <w:pPr>
        <w:pStyle w:val="ListParagraph"/>
        <w:numPr>
          <w:ilvl w:val="0"/>
          <w:numId w:val="1"/>
        </w:numPr>
        <w:spacing w:after="60"/>
      </w:pPr>
      <w:r>
        <w:t xml:space="preserve">The two-layer, four-lane 70-20-10 learning architecture (Stage 3.2)</w:t>
      </w:r>
    </w:p>
    <w:p>
      <w:pPr>
        <w:pStyle w:val="ListParagraph"/>
        <w:numPr>
          <w:ilvl w:val="0"/>
          <w:numId w:val="1"/>
        </w:numPr>
        <w:spacing w:after="60"/>
      </w:pPr>
      <w:r>
        <w:t xml:space="preserve">The trainer-mapped FY training calendar (Stage 3.3)</w:t>
      </w:r>
    </w:p>
    <w:p>
      <w:pPr>
        <w:pStyle w:val="ListParagraph"/>
        <w:numPr>
          <w:ilvl w:val="0"/>
          <w:numId w:val="1"/>
        </w:numPr>
        <w:spacing w:after="60"/>
      </w:pPr>
      <w:r>
        <w:t xml:space="preserve">Onboarding and cultural assimilation for new hires (Stage 3.4)</w:t>
      </w:r>
    </w:p>
    <w:p>
      <w:pPr>
        <w:pStyle w:val="ListParagraph"/>
        <w:numPr>
          <w:ilvl w:val="0"/>
          <w:numId w:val="1"/>
        </w:numPr>
        <w:spacing w:after="60"/>
      </w:pPr>
      <w:r>
        <w:t xml:space="preserve">The Success Behaviours definition workshop itself — the source document states this is run through on-site focus group discussions and “cannot be automated”; the platform stores and administers the resulting five behaviours, it does not generate them</w:t>
      </w:r>
    </w:p>
    <w:p>
      <w:pPr>
        <w:pStyle w:val="ListParagraph"/>
        <w:numPr>
          <w:ilvl w:val="0"/>
          <w:numId w:val="1"/>
        </w:numPr>
        <w:spacing w:after="60"/>
      </w:pPr>
      <w:r>
        <w:t xml:space="preserve">The facilitated succession-planning session (deck, live decision register) — the platform stores the resulting slate and readiness levels, it does not replace the facilitation</w:t>
      </w:r>
    </w:p>
    <w:p>
      <w:pPr>
        <w:spacing w:after="140"/>
      </w:pPr>
      <w:r>
        <w:rPr>
          <w:b w:val="false"/>
          <w:bCs w:val="false"/>
          <w:i/>
          <w:iCs/>
        </w:rPr>
        <w:t xml:space="preserve">These are noted so that a future phase can evaluate extending the platform into Phase 3, but they should not be estimated or built as part of this PRD's scope.</w:t>
      </w:r>
    </w:p>
    <w:p>
      <w:pPr>
        <w:pStyle w:val="Heading1"/>
        <w:spacing w:after="160" w:before="320"/>
      </w:pPr>
      <w:r>
        <w:t xml:space="preserve">6. Users &amp;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2937" w:color="auto" w:val="clear"/>
            <w:vAlign w:val="center"/>
          </w:tcPr>
          <w:p>
            <w:r>
              <w:rPr>
                <w:b/>
                <w:bCs/>
                <w:color w:val="FFFFFF"/>
                <w:sz w:val="18"/>
                <w:szCs w:val="18"/>
              </w:rPr>
              <w:t xml:space="preserve">Persona</w:t>
            </w:r>
          </w:p>
        </w:tc>
        <w:tc>
          <w:tcPr>
            <w:tcW w:type="dxa" w:w="6026"/>
            <w:shd w:fill="1F2937" w:color="auto" w:val="clear"/>
            <w:vAlign w:val="center"/>
          </w:tcPr>
          <w:p>
            <w:r>
              <w:rPr>
                <w:b/>
                <w:bCs/>
                <w:color w:val="FFFFFF"/>
                <w:sz w:val="18"/>
                <w:szCs w:val="18"/>
              </w:rPr>
              <w:t xml:space="preserve">Role in the platform</w:t>
            </w:r>
          </w:p>
        </w:tc>
      </w:tr>
      <w:tr>
        <w:tc>
          <w:tcPr>
            <w:tcW w:type="dxa" w:w="3000"/>
            <w:vAlign w:val="center"/>
          </w:tcPr>
          <w:p>
            <w:r>
              <w:rPr>
                <w:b w:val="false"/>
                <w:bCs w:val="false"/>
                <w:color w:val="000000"/>
                <w:sz w:val="18"/>
                <w:szCs w:val="18"/>
              </w:rPr>
              <w:t xml:space="preserve">PGC Platform Admin</w:t>
            </w:r>
          </w:p>
        </w:tc>
        <w:tc>
          <w:tcPr>
            <w:tcW w:type="dxa" w:w="6026"/>
            <w:vAlign w:val="center"/>
          </w:tcPr>
          <w:p>
            <w:r>
              <w:rPr>
                <w:b w:val="false"/>
                <w:bCs w:val="false"/>
                <w:color w:val="000000"/>
                <w:sz w:val="18"/>
                <w:szCs w:val="18"/>
              </w:rPr>
              <w:t xml:space="preserve">Super-admin across all client tenants. Only role with access to the hidden KS-cluster AI generation console, the priority-scoring model configuration, and cross-tenant reporting.</w:t>
            </w:r>
          </w:p>
        </w:tc>
      </w:tr>
      <w:tr>
        <w:tc>
          <w:tcPr>
            <w:tcW w:type="dxa" w:w="3000"/>
            <w:vAlign w:val="center"/>
          </w:tcPr>
          <w:p>
            <w:r>
              <w:rPr>
                <w:b w:val="false"/>
                <w:bCs w:val="false"/>
                <w:color w:val="000000"/>
                <w:sz w:val="18"/>
                <w:szCs w:val="18"/>
              </w:rPr>
              <w:t xml:space="preserve">KDDL HR SPOC (per division)</w:t>
            </w:r>
          </w:p>
        </w:tc>
        <w:tc>
          <w:tcPr>
            <w:tcW w:type="dxa" w:w="6026"/>
            <w:vAlign w:val="center"/>
          </w:tcPr>
          <w:p>
            <w:r>
              <w:rPr>
                <w:b w:val="false"/>
                <w:bCs w:val="false"/>
                <w:color w:val="000000"/>
                <w:sz w:val="18"/>
                <w:szCs w:val="18"/>
              </w:rPr>
              <w:t xml:space="preserve">Client admin for Dials 1 or Dials 2. Owns data upload, role-description coordination, assessment cycle circulation, and outstanding-assessment follow-up.</w:t>
            </w:r>
          </w:p>
        </w:tc>
      </w:tr>
      <w:tr>
        <w:tc>
          <w:tcPr>
            <w:tcW w:type="dxa" w:w="3000"/>
            <w:vAlign w:val="center"/>
          </w:tcPr>
          <w:p>
            <w:r>
              <w:rPr>
                <w:b w:val="false"/>
                <w:bCs w:val="false"/>
                <w:color w:val="000000"/>
                <w:sz w:val="18"/>
                <w:szCs w:val="18"/>
              </w:rPr>
              <w:t xml:space="preserve">Function Head / HOD</w:t>
            </w:r>
          </w:p>
        </w:tc>
        <w:tc>
          <w:tcPr>
            <w:tcW w:type="dxa" w:w="6026"/>
            <w:vAlign w:val="center"/>
          </w:tcPr>
          <w:p>
            <w:r>
              <w:rPr>
                <w:b w:val="false"/>
                <w:bCs w:val="false"/>
                <w:color w:val="000000"/>
                <w:sz w:val="18"/>
                <w:szCs w:val="18"/>
              </w:rPr>
              <w:t xml:space="preserve">Validates role descriptions for their function; frequently also acts as Manager or Skip Manager in the assessment workflow.</w:t>
            </w:r>
          </w:p>
        </w:tc>
      </w:tr>
      <w:tr>
        <w:tc>
          <w:tcPr>
            <w:tcW w:type="dxa" w:w="3000"/>
            <w:vAlign w:val="center"/>
          </w:tcPr>
          <w:p>
            <w:r>
              <w:rPr>
                <w:b w:val="false"/>
                <w:bCs w:val="false"/>
                <w:color w:val="000000"/>
                <w:sz w:val="18"/>
                <w:szCs w:val="18"/>
              </w:rPr>
              <w:t xml:space="preserve">Manager</w:t>
            </w:r>
          </w:p>
        </w:tc>
        <w:tc>
          <w:tcPr>
            <w:tcW w:type="dxa" w:w="6026"/>
            <w:vAlign w:val="center"/>
          </w:tcPr>
          <w:p>
            <w:r>
              <w:rPr>
                <w:b w:val="false"/>
                <w:bCs w:val="false"/>
                <w:color w:val="000000"/>
                <w:sz w:val="18"/>
                <w:szCs w:val="18"/>
              </w:rPr>
              <w:t xml:space="preserve">Completes manager assessments, runs the reconciliation conversation, records evidence-based ratings.</w:t>
            </w:r>
          </w:p>
        </w:tc>
      </w:tr>
      <w:tr>
        <w:tc>
          <w:tcPr>
            <w:tcW w:type="dxa" w:w="3000"/>
            <w:vAlign w:val="center"/>
          </w:tcPr>
          <w:p>
            <w:r>
              <w:rPr>
                <w:b w:val="false"/>
                <w:bCs w:val="false"/>
                <w:color w:val="000000"/>
                <w:sz w:val="18"/>
                <w:szCs w:val="18"/>
              </w:rPr>
              <w:t xml:space="preserve">Employee (supervisory cadre and above)</w:t>
            </w:r>
          </w:p>
        </w:tc>
        <w:tc>
          <w:tcPr>
            <w:tcW w:type="dxa" w:w="6026"/>
            <w:vAlign w:val="center"/>
          </w:tcPr>
          <w:p>
            <w:r>
              <w:rPr>
                <w:b w:val="false"/>
                <w:bCs w:val="false"/>
                <w:color w:val="000000"/>
                <w:sz w:val="18"/>
                <w:szCs w:val="18"/>
              </w:rPr>
              <w:t xml:space="preserve">Completes self-assessment; views own ASK profile, gaps and development notes.</w:t>
            </w:r>
          </w:p>
        </w:tc>
      </w:tr>
      <w:tr>
        <w:tc>
          <w:tcPr>
            <w:tcW w:type="dxa" w:w="3000"/>
            <w:vAlign w:val="center"/>
          </w:tcPr>
          <w:p>
            <w:r>
              <w:rPr>
                <w:b w:val="false"/>
                <w:bCs w:val="false"/>
                <w:color w:val="000000"/>
                <w:sz w:val="18"/>
                <w:szCs w:val="18"/>
              </w:rPr>
              <w:t xml:space="preserve">Skip Manager</w:t>
            </w:r>
          </w:p>
        </w:tc>
        <w:tc>
          <w:tcPr>
            <w:tcW w:type="dxa" w:w="6026"/>
            <w:vAlign w:val="center"/>
          </w:tcPr>
          <w:p>
            <w:r>
              <w:rPr>
                <w:b w:val="false"/>
                <w:bCs w:val="false"/>
                <w:color w:val="000000"/>
                <w:sz w:val="18"/>
                <w:szCs w:val="18"/>
              </w:rPr>
              <w:t xml:space="preserve">Final authority on unresolved self/manager disagreements; approvals escalate here by organisational authority, not consensus.</w:t>
            </w:r>
          </w:p>
        </w:tc>
      </w:tr>
      <w:tr>
        <w:tc>
          <w:tcPr>
            <w:tcW w:type="dxa" w:w="3000"/>
            <w:vAlign w:val="center"/>
          </w:tcPr>
          <w:p>
            <w:r>
              <w:rPr>
                <w:b w:val="false"/>
                <w:bCs w:val="false"/>
                <w:color w:val="000000"/>
                <w:sz w:val="18"/>
                <w:szCs w:val="18"/>
              </w:rPr>
              <w:t xml:space="preserve">Sponsor / Chairman (viewer)</w:t>
            </w:r>
          </w:p>
        </w:tc>
        <w:tc>
          <w:tcPr>
            <w:tcW w:type="dxa" w:w="6026"/>
            <w:vAlign w:val="center"/>
          </w:tcPr>
          <w:p>
            <w:r>
              <w:rPr>
                <w:b w:val="false"/>
                <w:bCs w:val="false"/>
                <w:color w:val="000000"/>
                <w:sz w:val="18"/>
                <w:szCs w:val="18"/>
              </w:rPr>
              <w:t xml:space="preserve">Read-only access to persona-based dashboards and reports — programme status, capability gap heatmap, succession readiness, critical-role risk. No data-entry access.</w:t>
            </w:r>
          </w:p>
        </w:tc>
      </w:tr>
    </w:tbl>
    <w:p>
      <w:pPr>
        <w:spacing w:after="140"/>
      </w:pPr>
      <w:r>
        <w:rPr>
          <w:b w:val="false"/>
          <w:bCs w:val="false"/>
          <w:i/>
          <w:iCs/>
        </w:rPr>
        <w:t xml:space="preserve">Note: a detailed build prompt for the Chairman persona dashboard has already been produced as a separate artefact; it should be treated as the UI specification for the Reports &amp; Insights module (Section 8, Module M) rather than duplicated here.</w:t>
      </w:r>
    </w:p>
    <w:p>
      <w:pPr>
        <w:pStyle w:val="Heading1"/>
        <w:spacing w:after="160" w:before="320"/>
      </w:pPr>
      <w:r>
        <w:t xml:space="preserve">7. End-to-End Automation Map</w:t>
      </w:r>
    </w:p>
    <w:p>
      <w:pPr>
        <w:spacing w:after="140"/>
      </w:pPr>
      <w:r>
        <w:rPr>
          <w:b w:val="false"/>
          <w:bCs w:val="false"/>
          <w:i w:val="false"/>
          <w:iCs w:val="false"/>
        </w:rPr>
        <w:t xml:space="preserve">This is the client's own target technology flow, reproduced as the authoritative sequence and ownership model for the platform. “System” = fully automated; “PGC (hidden)” = automated but never surfaced to a client-role user; “Joint” = client validates an output PGC's engine produces; “Client” = client-entered/uploaded; “PGC” = produced by PGC, on or off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1926"/>
      </w:tblGrid>
      <w:tr>
        <w:trPr>
          <w:tblHeader/>
        </w:trPr>
        <w:tc>
          <w:tcPr>
            <w:tcW w:type="dxa" w:w="500"/>
            <w:shd w:fill="1F2937" w:color="auto" w:val="clear"/>
            <w:vAlign w:val="center"/>
          </w:tcPr>
          <w:p>
            <w:r>
              <w:rPr>
                <w:b/>
                <w:bCs/>
                <w:color w:val="FFFFFF"/>
                <w:sz w:val="18"/>
                <w:szCs w:val="18"/>
              </w:rPr>
              <w:t xml:space="preserve">#</w:t>
            </w:r>
          </w:p>
        </w:tc>
        <w:tc>
          <w:tcPr>
            <w:tcW w:type="dxa" w:w="2400"/>
            <w:shd w:fill="1F2937" w:color="auto" w:val="clear"/>
            <w:vAlign w:val="center"/>
          </w:tcPr>
          <w:p>
            <w:r>
              <w:rPr>
                <w:b/>
                <w:bCs/>
                <w:color w:val="FFFFFF"/>
                <w:sz w:val="18"/>
                <w:szCs w:val="18"/>
              </w:rPr>
              <w:t xml:space="preserve">Stage</w:t>
            </w:r>
          </w:p>
        </w:tc>
        <w:tc>
          <w:tcPr>
            <w:tcW w:type="dxa" w:w="4200"/>
            <w:shd w:fill="1F2937" w:color="auto" w:val="clear"/>
            <w:vAlign w:val="center"/>
          </w:tcPr>
          <w:p>
            <w:r>
              <w:rPr>
                <w:b/>
                <w:bCs/>
                <w:color w:val="FFFFFF"/>
                <w:sz w:val="18"/>
                <w:szCs w:val="18"/>
              </w:rPr>
              <w:t xml:space="preserve">Input → Output</w:t>
            </w:r>
          </w:p>
        </w:tc>
        <w:tc>
          <w:tcPr>
            <w:tcW w:type="dxa" w:w="1926"/>
            <w:shd w:fill="1F2937" w:color="auto" w:val="clear"/>
            <w:vAlign w:val="center"/>
          </w:tcPr>
          <w:p>
            <w:r>
              <w:rPr>
                <w:b/>
                <w:bCs/>
                <w:color w:val="FFFFFF"/>
                <w:sz w:val="18"/>
                <w:szCs w:val="18"/>
              </w:rPr>
              <w:t xml:space="preserve">Owner</w:t>
            </w:r>
          </w:p>
        </w:tc>
      </w:tr>
      <w:tr>
        <w:tc>
          <w:tcPr>
            <w:tcW w:type="dxa" w:w="500"/>
            <w:vAlign w:val="center"/>
          </w:tcPr>
          <w:p>
            <w:r>
              <w:rPr>
                <w:b w:val="false"/>
                <w:bCs w:val="false"/>
                <w:color w:val="000000"/>
                <w:sz w:val="18"/>
                <w:szCs w:val="18"/>
              </w:rPr>
              <w:t xml:space="preserve">1</w:t>
            </w:r>
          </w:p>
        </w:tc>
        <w:tc>
          <w:tcPr>
            <w:tcW w:type="dxa" w:w="2400"/>
            <w:vAlign w:val="center"/>
          </w:tcPr>
          <w:p>
            <w:r>
              <w:rPr>
                <w:b w:val="false"/>
                <w:bCs w:val="false"/>
                <w:color w:val="000000"/>
                <w:sz w:val="18"/>
                <w:szCs w:val="18"/>
              </w:rPr>
              <w:t xml:space="preserve">Set up customer account &amp; access</w:t>
            </w:r>
          </w:p>
        </w:tc>
        <w:tc>
          <w:tcPr>
            <w:tcW w:type="dxa" w:w="4200"/>
            <w:vAlign w:val="center"/>
          </w:tcPr>
          <w:p>
            <w:r>
              <w:rPr>
                <w:b w:val="false"/>
                <w:bCs w:val="false"/>
                <w:color w:val="000000"/>
                <w:sz w:val="18"/>
                <w:szCs w:val="18"/>
              </w:rPr>
              <w:t xml:space="preserve">PGC admin creates the client as a tenant, assigns admin/edit/view access → client account live</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2</w:t>
            </w:r>
          </w:p>
        </w:tc>
        <w:tc>
          <w:tcPr>
            <w:tcW w:type="dxa" w:w="2400"/>
            <w:vAlign w:val="center"/>
          </w:tcPr>
          <w:p>
            <w:r>
              <w:rPr>
                <w:b w:val="false"/>
                <w:bCs w:val="false"/>
                <w:color w:val="000000"/>
                <w:sz w:val="18"/>
                <w:szCs w:val="18"/>
              </w:rPr>
              <w:t xml:space="preserve">Download, fill &amp; upload employee data (CSV)</w:t>
            </w:r>
          </w:p>
        </w:tc>
        <w:tc>
          <w:tcPr>
            <w:tcW w:type="dxa" w:w="4200"/>
            <w:vAlign w:val="center"/>
          </w:tcPr>
          <w:p>
            <w:r>
              <w:rPr>
                <w:b w:val="false"/>
                <w:bCs w:val="false"/>
                <w:color w:val="000000"/>
                <w:sz w:val="18"/>
                <w:szCs w:val="18"/>
              </w:rPr>
              <w:t xml:space="preserve">PGC shares CSV template; client fills employee master; PGC checks &amp; uploads → all employee records populated</w:t>
            </w:r>
          </w:p>
        </w:tc>
        <w:tc>
          <w:tcPr>
            <w:tcW w:type="dxa" w:w="1926"/>
            <w:vAlign w:val="center"/>
          </w:tcPr>
          <w:p>
            <w:r>
              <w:rPr>
                <w:b w:val="false"/>
                <w:bCs w:val="false"/>
                <w:color w:val="000000"/>
                <w:sz w:val="18"/>
                <w:szCs w:val="18"/>
              </w:rPr>
              <w:t xml:space="preserve">Client</w:t>
            </w:r>
          </w:p>
        </w:tc>
      </w:tr>
      <w:tr>
        <w:tc>
          <w:tcPr>
            <w:tcW w:type="dxa" w:w="500"/>
            <w:vAlign w:val="center"/>
          </w:tcPr>
          <w:p>
            <w:r>
              <w:rPr>
                <w:b w:val="false"/>
                <w:bCs w:val="false"/>
                <w:color w:val="000000"/>
                <w:sz w:val="18"/>
                <w:szCs w:val="18"/>
              </w:rPr>
              <w:t xml:space="preserve">3</w:t>
            </w:r>
          </w:p>
        </w:tc>
        <w:tc>
          <w:tcPr>
            <w:tcW w:type="dxa" w:w="2400"/>
            <w:vAlign w:val="center"/>
          </w:tcPr>
          <w:p>
            <w:r>
              <w:rPr>
                <w:b w:val="false"/>
                <w:bCs w:val="false"/>
                <w:color w:val="000000"/>
                <w:sz w:val="18"/>
                <w:szCs w:val="18"/>
              </w:rPr>
              <w:t xml:space="preserve">Build org structure &amp; retirement view</w:t>
            </w:r>
          </w:p>
        </w:tc>
        <w:tc>
          <w:tcPr>
            <w:tcW w:type="dxa" w:w="4200"/>
            <w:vAlign w:val="center"/>
          </w:tcPr>
          <w:p>
            <w:r>
              <w:rPr>
                <w:b w:val="false"/>
                <w:bCs w:val="false"/>
                <w:color w:val="000000"/>
                <w:sz w:val="18"/>
                <w:szCs w:val="18"/>
              </w:rPr>
              <w:t xml:space="preserve">Uploaded employee &amp; reporting data → org structure, manpower pyramid, retirement register</w:t>
            </w:r>
          </w:p>
        </w:tc>
        <w:tc>
          <w:tcPr>
            <w:tcW w:type="dxa" w:w="1926"/>
            <w:vAlign w:val="center"/>
          </w:tcPr>
          <w:p>
            <w:r>
              <w:rPr>
                <w:b w:val="false"/>
                <w:bCs w:val="false"/>
                <w:color w:val="000000"/>
                <w:sz w:val="18"/>
                <w:szCs w:val="18"/>
              </w:rPr>
              <w:t xml:space="preserve">System</w:t>
            </w:r>
          </w:p>
        </w:tc>
      </w:tr>
      <w:tr>
        <w:tc>
          <w:tcPr>
            <w:tcW w:type="dxa" w:w="500"/>
            <w:vAlign w:val="center"/>
          </w:tcPr>
          <w:p>
            <w:r>
              <w:rPr>
                <w:b w:val="false"/>
                <w:bCs w:val="false"/>
                <w:color w:val="000000"/>
                <w:sz w:val="18"/>
                <w:szCs w:val="18"/>
              </w:rPr>
              <w:t xml:space="preserve">4</w:t>
            </w:r>
          </w:p>
        </w:tc>
        <w:tc>
          <w:tcPr>
            <w:tcW w:type="dxa" w:w="2400"/>
            <w:vAlign w:val="center"/>
          </w:tcPr>
          <w:p>
            <w:r>
              <w:rPr>
                <w:b w:val="false"/>
                <w:bCs w:val="false"/>
                <w:color w:val="000000"/>
                <w:sz w:val="18"/>
                <w:szCs w:val="18"/>
              </w:rPr>
              <w:t xml:space="preserve">Fill role descriptions on platform</w:t>
            </w:r>
          </w:p>
        </w:tc>
        <w:tc>
          <w:tcPr>
            <w:tcW w:type="dxa" w:w="4200"/>
            <w:vAlign w:val="center"/>
          </w:tcPr>
          <w:p>
            <w:r>
              <w:rPr>
                <w:b w:val="false"/>
                <w:bCs w:val="false"/>
                <w:color w:val="000000"/>
                <w:sz w:val="18"/>
                <w:szCs w:val="18"/>
              </w:rPr>
              <w:t xml:space="preserve">Manager enters role description incl. equipment/process references, optional AI refine → role descriptions captured</w:t>
            </w:r>
          </w:p>
        </w:tc>
        <w:tc>
          <w:tcPr>
            <w:tcW w:type="dxa" w:w="1926"/>
            <w:vAlign w:val="center"/>
          </w:tcPr>
          <w:p>
            <w:r>
              <w:rPr>
                <w:b w:val="false"/>
                <w:bCs w:val="false"/>
                <w:color w:val="000000"/>
                <w:sz w:val="18"/>
                <w:szCs w:val="18"/>
              </w:rPr>
              <w:t xml:space="preserve">Client on platform</w:t>
            </w:r>
          </w:p>
        </w:tc>
      </w:tr>
      <w:tr>
        <w:tc>
          <w:tcPr>
            <w:tcW w:type="dxa" w:w="500"/>
            <w:vAlign w:val="center"/>
          </w:tcPr>
          <w:p>
            <w:r>
              <w:rPr>
                <w:b w:val="false"/>
                <w:bCs w:val="false"/>
                <w:color w:val="000000"/>
                <w:sz w:val="18"/>
                <w:szCs w:val="18"/>
              </w:rPr>
              <w:t xml:space="preserve">5</w:t>
            </w:r>
          </w:p>
        </w:tc>
        <w:tc>
          <w:tcPr>
            <w:tcW w:type="dxa" w:w="2400"/>
            <w:vAlign w:val="center"/>
          </w:tcPr>
          <w:p>
            <w:r>
              <w:rPr>
                <w:b w:val="false"/>
                <w:bCs w:val="false"/>
                <w:color w:val="000000"/>
                <w:sz w:val="18"/>
                <w:szCs w:val="18"/>
              </w:rPr>
              <w:t xml:space="preserve">Audit roles for overlap &amp; duplicates</w:t>
            </w:r>
          </w:p>
        </w:tc>
        <w:tc>
          <w:tcPr>
            <w:tcW w:type="dxa" w:w="4200"/>
            <w:vAlign w:val="center"/>
          </w:tcPr>
          <w:p>
            <w:r>
              <w:rPr>
                <w:b w:val="false"/>
                <w:bCs w:val="false"/>
                <w:color w:val="000000"/>
                <w:sz w:val="18"/>
                <w:szCs w:val="18"/>
              </w:rPr>
              <w:t xml:space="preserve">All role descriptions → duplicates merged, genuine overlaps flagged</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6</w:t>
            </w:r>
          </w:p>
        </w:tc>
        <w:tc>
          <w:tcPr>
            <w:tcW w:type="dxa" w:w="2400"/>
            <w:vAlign w:val="center"/>
          </w:tcPr>
          <w:p>
            <w:r>
              <w:rPr>
                <w:b w:val="false"/>
                <w:bCs w:val="false"/>
                <w:color w:val="000000"/>
                <w:sz w:val="18"/>
                <w:szCs w:val="18"/>
              </w:rPr>
              <w:t xml:space="preserve">Define Success Behaviours (FGD)</w:t>
            </w:r>
          </w:p>
        </w:tc>
        <w:tc>
          <w:tcPr>
            <w:tcW w:type="dxa" w:w="4200"/>
            <w:vAlign w:val="center"/>
          </w:tcPr>
          <w:p>
            <w:r>
              <w:rPr>
                <w:b w:val="false"/>
                <w:bCs w:val="false"/>
                <w:color w:val="000000"/>
                <w:sz w:val="18"/>
                <w:szCs w:val="18"/>
              </w:rPr>
              <w:t xml:space="preserve">On-site focus group discussions (manual, not automatable) → Success Behaviours written for this client</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7</w:t>
            </w:r>
          </w:p>
        </w:tc>
        <w:tc>
          <w:tcPr>
            <w:tcW w:type="dxa" w:w="2400"/>
            <w:vAlign w:val="center"/>
          </w:tcPr>
          <w:p>
            <w:r>
              <w:rPr>
                <w:b w:val="false"/>
                <w:bCs w:val="false"/>
                <w:color w:val="000000"/>
                <w:sz w:val="18"/>
                <w:szCs w:val="18"/>
              </w:rPr>
              <w:t xml:space="preserve">Generate Knowledge &amp; Skill clusters</w:t>
            </w:r>
          </w:p>
        </w:tc>
        <w:tc>
          <w:tcPr>
            <w:tcW w:type="dxa" w:w="4200"/>
            <w:vAlign w:val="center"/>
          </w:tcPr>
          <w:p>
            <w:r>
              <w:rPr>
                <w:b w:val="false"/>
                <w:bCs w:val="false"/>
                <w:color w:val="000000"/>
                <w:sz w:val="18"/>
                <w:szCs w:val="18"/>
              </w:rPr>
              <w:t xml:space="preserve">Role descriptions run through a curated prompt sequence in the admin prompt window → KS clusters &amp; ASK content</w:t>
            </w:r>
          </w:p>
        </w:tc>
        <w:tc>
          <w:tcPr>
            <w:tcW w:type="dxa" w:w="1926"/>
            <w:vAlign w:val="center"/>
          </w:tcPr>
          <w:p>
            <w:r>
              <w:rPr>
                <w:b w:val="false"/>
                <w:bCs w:val="false"/>
                <w:color w:val="000000"/>
                <w:sz w:val="18"/>
                <w:szCs w:val="18"/>
              </w:rPr>
              <w:t xml:space="preserve">PGC (hidden)</w:t>
            </w:r>
          </w:p>
        </w:tc>
      </w:tr>
      <w:tr>
        <w:tc>
          <w:tcPr>
            <w:tcW w:type="dxa" w:w="500"/>
            <w:vAlign w:val="center"/>
          </w:tcPr>
          <w:p>
            <w:r>
              <w:rPr>
                <w:b w:val="false"/>
                <w:bCs w:val="false"/>
                <w:color w:val="000000"/>
                <w:sz w:val="18"/>
                <w:szCs w:val="18"/>
              </w:rPr>
              <w:t xml:space="preserve">8</w:t>
            </w:r>
          </w:p>
        </w:tc>
        <w:tc>
          <w:tcPr>
            <w:tcW w:type="dxa" w:w="2400"/>
            <w:vAlign w:val="center"/>
          </w:tcPr>
          <w:p>
            <w:r>
              <w:rPr>
                <w:b w:val="false"/>
                <w:bCs w:val="false"/>
                <w:color w:val="000000"/>
                <w:sz w:val="18"/>
                <w:szCs w:val="18"/>
              </w:rPr>
              <w:t xml:space="preserve">Fix desired levels (ASK matrix)</w:t>
            </w:r>
          </w:p>
        </w:tc>
        <w:tc>
          <w:tcPr>
            <w:tcW w:type="dxa" w:w="4200"/>
            <w:vAlign w:val="center"/>
          </w:tcPr>
          <w:p>
            <w:r>
              <w:rPr>
                <w:b w:val="false"/>
                <w:bCs w:val="false"/>
                <w:color w:val="000000"/>
                <w:sz w:val="18"/>
                <w:szCs w:val="18"/>
              </w:rPr>
              <w:t xml:space="preserve">Skills, behaviours &amp; grade bands → desired level set per role band; people mapped</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9</w:t>
            </w:r>
          </w:p>
        </w:tc>
        <w:tc>
          <w:tcPr>
            <w:tcW w:type="dxa" w:w="2400"/>
            <w:vAlign w:val="center"/>
          </w:tcPr>
          <w:p>
            <w:r>
              <w:rPr>
                <w:b w:val="false"/>
                <w:bCs w:val="false"/>
                <w:color w:val="000000"/>
                <w:sz w:val="18"/>
                <w:szCs w:val="18"/>
              </w:rPr>
              <w:t xml:space="preserve">Generate ASK dictionary report</w:t>
            </w:r>
          </w:p>
        </w:tc>
        <w:tc>
          <w:tcPr>
            <w:tcW w:type="dxa" w:w="4200"/>
            <w:vAlign w:val="center"/>
          </w:tcPr>
          <w:p>
            <w:r>
              <w:rPr>
                <w:b w:val="false"/>
                <w:bCs w:val="false"/>
                <w:color w:val="000000"/>
                <w:sz w:val="18"/>
                <w:szCs w:val="18"/>
              </w:rPr>
              <w:t xml:space="preserve">Approved framework on the system → dictionary report/printout</w:t>
            </w:r>
          </w:p>
        </w:tc>
        <w:tc>
          <w:tcPr>
            <w:tcW w:type="dxa" w:w="1926"/>
            <w:vAlign w:val="center"/>
          </w:tcPr>
          <w:p>
            <w:r>
              <w:rPr>
                <w:b w:val="false"/>
                <w:bCs w:val="false"/>
                <w:color w:val="000000"/>
                <w:sz w:val="18"/>
                <w:szCs w:val="18"/>
              </w:rPr>
              <w:t xml:space="preserve">System</w:t>
            </w:r>
          </w:p>
        </w:tc>
      </w:tr>
      <w:tr>
        <w:tc>
          <w:tcPr>
            <w:tcW w:type="dxa" w:w="500"/>
            <w:vAlign w:val="center"/>
          </w:tcPr>
          <w:p>
            <w:r>
              <w:rPr>
                <w:b w:val="false"/>
                <w:bCs w:val="false"/>
                <w:color w:val="000000"/>
                <w:sz w:val="18"/>
                <w:szCs w:val="18"/>
              </w:rPr>
              <w:t xml:space="preserve">10</w:t>
            </w:r>
          </w:p>
        </w:tc>
        <w:tc>
          <w:tcPr>
            <w:tcW w:type="dxa" w:w="2400"/>
            <w:vAlign w:val="center"/>
          </w:tcPr>
          <w:p>
            <w:r>
              <w:rPr>
                <w:b w:val="false"/>
                <w:bCs w:val="false"/>
                <w:color w:val="000000"/>
                <w:sz w:val="18"/>
                <w:szCs w:val="18"/>
              </w:rPr>
              <w:t xml:space="preserve">Client review &amp; approve framework</w:t>
            </w:r>
          </w:p>
        </w:tc>
        <w:tc>
          <w:tcPr>
            <w:tcW w:type="dxa" w:w="4200"/>
            <w:vAlign w:val="center"/>
          </w:tcPr>
          <w:p>
            <w:r>
              <w:rPr>
                <w:b w:val="false"/>
                <w:bCs w:val="false"/>
                <w:color w:val="000000"/>
                <w:sz w:val="18"/>
                <w:szCs w:val="18"/>
              </w:rPr>
              <w:t xml:space="preserve">Generated framework + desired levels → reviewed, agreed, locked ASK framework</w:t>
            </w:r>
          </w:p>
        </w:tc>
        <w:tc>
          <w:tcPr>
            <w:tcW w:type="dxa" w:w="1926"/>
            <w:vAlign w:val="center"/>
          </w:tcPr>
          <w:p>
            <w:r>
              <w:rPr>
                <w:b w:val="false"/>
                <w:bCs w:val="false"/>
                <w:color w:val="000000"/>
                <w:sz w:val="18"/>
                <w:szCs w:val="18"/>
              </w:rPr>
              <w:t xml:space="preserve">Joint</w:t>
            </w:r>
          </w:p>
        </w:tc>
      </w:tr>
      <w:tr>
        <w:tc>
          <w:tcPr>
            <w:tcW w:type="dxa" w:w="500"/>
            <w:vAlign w:val="center"/>
          </w:tcPr>
          <w:p>
            <w:r>
              <w:rPr>
                <w:b w:val="false"/>
                <w:bCs w:val="false"/>
                <w:color w:val="000000"/>
                <w:sz w:val="18"/>
                <w:szCs w:val="18"/>
              </w:rPr>
              <w:t xml:space="preserve">11</w:t>
            </w:r>
          </w:p>
        </w:tc>
        <w:tc>
          <w:tcPr>
            <w:tcW w:type="dxa" w:w="2400"/>
            <w:vAlign w:val="center"/>
          </w:tcPr>
          <w:p>
            <w:r>
              <w:rPr>
                <w:b w:val="false"/>
                <w:bCs w:val="false"/>
                <w:color w:val="000000"/>
                <w:sz w:val="18"/>
                <w:szCs w:val="18"/>
              </w:rPr>
              <w:t xml:space="preserve">Train managers &amp; employees</w:t>
            </w:r>
          </w:p>
        </w:tc>
        <w:tc>
          <w:tcPr>
            <w:tcW w:type="dxa" w:w="4200"/>
            <w:vAlign w:val="center"/>
          </w:tcPr>
          <w:p>
            <w:r>
              <w:rPr>
                <w:b w:val="false"/>
                <w:bCs w:val="false"/>
                <w:color w:val="000000"/>
                <w:sz w:val="18"/>
                <w:szCs w:val="18"/>
              </w:rPr>
              <w:t xml:space="preserve">Same ASK conversation training model → cadre ready to run the assessment</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12</w:t>
            </w:r>
          </w:p>
        </w:tc>
        <w:tc>
          <w:tcPr>
            <w:tcW w:type="dxa" w:w="2400"/>
            <w:vAlign w:val="center"/>
          </w:tcPr>
          <w:p>
            <w:r>
              <w:rPr>
                <w:b w:val="false"/>
                <w:bCs w:val="false"/>
                <w:color w:val="000000"/>
                <w:sz w:val="18"/>
                <w:szCs w:val="18"/>
              </w:rPr>
              <w:t xml:space="preserve">Conduct assessment on the system</w:t>
            </w:r>
          </w:p>
        </w:tc>
        <w:tc>
          <w:tcPr>
            <w:tcW w:type="dxa" w:w="4200"/>
            <w:vAlign w:val="center"/>
          </w:tcPr>
          <w:p>
            <w:r>
              <w:rPr>
                <w:b w:val="false"/>
                <w:bCs w:val="false"/>
                <w:color w:val="000000"/>
                <w:sz w:val="18"/>
                <w:szCs w:val="18"/>
              </w:rPr>
              <w:t xml:space="preserve">Managers &amp; employees enter self/manager ratings; manager approves → self, manager &amp; agreed levels captured</w:t>
            </w:r>
          </w:p>
        </w:tc>
        <w:tc>
          <w:tcPr>
            <w:tcW w:type="dxa" w:w="1926"/>
            <w:vAlign w:val="center"/>
          </w:tcPr>
          <w:p>
            <w:r>
              <w:rPr>
                <w:b w:val="false"/>
                <w:bCs w:val="false"/>
                <w:color w:val="000000"/>
                <w:sz w:val="18"/>
                <w:szCs w:val="18"/>
              </w:rPr>
              <w:t xml:space="preserve">Client on platform</w:t>
            </w:r>
          </w:p>
        </w:tc>
      </w:tr>
      <w:tr>
        <w:tc>
          <w:tcPr>
            <w:tcW w:type="dxa" w:w="500"/>
            <w:vAlign w:val="center"/>
          </w:tcPr>
          <w:p>
            <w:r>
              <w:rPr>
                <w:b w:val="false"/>
                <w:bCs w:val="false"/>
                <w:color w:val="000000"/>
                <w:sz w:val="18"/>
                <w:szCs w:val="18"/>
              </w:rPr>
              <w:t xml:space="preserve">13</w:t>
            </w:r>
          </w:p>
        </w:tc>
        <w:tc>
          <w:tcPr>
            <w:tcW w:type="dxa" w:w="2400"/>
            <w:vAlign w:val="center"/>
          </w:tcPr>
          <w:p>
            <w:r>
              <w:rPr>
                <w:b w:val="false"/>
                <w:bCs w:val="false"/>
                <w:color w:val="000000"/>
                <w:sz w:val="18"/>
                <w:szCs w:val="18"/>
              </w:rPr>
              <w:t xml:space="preserve">Consolidate &amp; compute gaps</w:t>
            </w:r>
          </w:p>
        </w:tc>
        <w:tc>
          <w:tcPr>
            <w:tcW w:type="dxa" w:w="4200"/>
            <w:vAlign w:val="center"/>
          </w:tcPr>
          <w:p>
            <w:r>
              <w:rPr>
                <w:b w:val="false"/>
                <w:bCs w:val="false"/>
                <w:color w:val="000000"/>
                <w:sz w:val="18"/>
                <w:szCs w:val="18"/>
              </w:rPr>
              <w:t xml:space="preserve">Approved assessments, auto-consolidated → one clean gap picture; gap = MAL minus desired level</w:t>
            </w:r>
          </w:p>
        </w:tc>
        <w:tc>
          <w:tcPr>
            <w:tcW w:type="dxa" w:w="1926"/>
            <w:vAlign w:val="center"/>
          </w:tcPr>
          <w:p>
            <w:r>
              <w:rPr>
                <w:b w:val="false"/>
                <w:bCs w:val="false"/>
                <w:color w:val="000000"/>
                <w:sz w:val="18"/>
                <w:szCs w:val="18"/>
              </w:rPr>
              <w:t xml:space="preserve">System</w:t>
            </w:r>
          </w:p>
        </w:tc>
      </w:tr>
      <w:tr>
        <w:tc>
          <w:tcPr>
            <w:tcW w:type="dxa" w:w="500"/>
            <w:vAlign w:val="center"/>
          </w:tcPr>
          <w:p>
            <w:r>
              <w:rPr>
                <w:b w:val="false"/>
                <w:bCs w:val="false"/>
                <w:color w:val="000000"/>
                <w:sz w:val="18"/>
                <w:szCs w:val="18"/>
              </w:rPr>
              <w:t xml:space="preserve">14</w:t>
            </w:r>
          </w:p>
        </w:tc>
        <w:tc>
          <w:tcPr>
            <w:tcW w:type="dxa" w:w="2400"/>
            <w:vAlign w:val="center"/>
          </w:tcPr>
          <w:p>
            <w:r>
              <w:rPr>
                <w:b w:val="false"/>
                <w:bCs w:val="false"/>
                <w:color w:val="000000"/>
                <w:sz w:val="18"/>
                <w:szCs w:val="18"/>
              </w:rPr>
              <w:t xml:space="preserve">Priority scoring</w:t>
            </w:r>
          </w:p>
        </w:tc>
        <w:tc>
          <w:tcPr>
            <w:tcW w:type="dxa" w:w="4200"/>
            <w:vAlign w:val="center"/>
          </w:tcPr>
          <w:p>
            <w:r>
              <w:rPr>
                <w:b w:val="false"/>
                <w:bCs w:val="false"/>
                <w:color w:val="000000"/>
                <w:sz w:val="18"/>
                <w:szCs w:val="18"/>
              </w:rPr>
              <w:t xml:space="preserve">Gaps + role &amp; market context → Training Priority Register, P1/P2 bands</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16</w:t>
            </w:r>
          </w:p>
        </w:tc>
        <w:tc>
          <w:tcPr>
            <w:tcW w:type="dxa" w:w="2400"/>
            <w:vAlign w:val="center"/>
          </w:tcPr>
          <w:p>
            <w:r>
              <w:rPr>
                <w:b w:val="false"/>
                <w:bCs w:val="false"/>
                <w:color w:val="000000"/>
                <w:sz w:val="18"/>
                <w:szCs w:val="18"/>
              </w:rPr>
              <w:t xml:space="preserve">Capability gap analysis</w:t>
            </w:r>
          </w:p>
        </w:tc>
        <w:tc>
          <w:tcPr>
            <w:tcW w:type="dxa" w:w="4200"/>
            <w:vAlign w:val="center"/>
          </w:tcPr>
          <w:p>
            <w:r>
              <w:rPr>
                <w:b w:val="false"/>
                <w:bCs w:val="false"/>
                <w:color w:val="000000"/>
                <w:sz w:val="18"/>
                <w:szCs w:val="18"/>
              </w:rPr>
              <w:t xml:space="preserve">Consolidated data → clear gaps identified and visible</w:t>
            </w:r>
          </w:p>
        </w:tc>
        <w:tc>
          <w:tcPr>
            <w:tcW w:type="dxa" w:w="1926"/>
            <w:vAlign w:val="center"/>
          </w:tcPr>
          <w:p>
            <w:r>
              <w:rPr>
                <w:b w:val="false"/>
                <w:bCs w:val="false"/>
                <w:color w:val="000000"/>
                <w:sz w:val="18"/>
                <w:szCs w:val="18"/>
              </w:rPr>
              <w:t xml:space="preserve">PGC</w:t>
            </w:r>
          </w:p>
        </w:tc>
      </w:tr>
      <w:tr>
        <w:tc>
          <w:tcPr>
            <w:tcW w:type="dxa" w:w="500"/>
            <w:vAlign w:val="center"/>
          </w:tcPr>
          <w:p>
            <w:r>
              <w:rPr>
                <w:b w:val="false"/>
                <w:bCs w:val="false"/>
                <w:color w:val="000000"/>
                <w:sz w:val="18"/>
                <w:szCs w:val="18"/>
              </w:rPr>
              <w:t xml:space="preserve">17</w:t>
            </w:r>
          </w:p>
        </w:tc>
        <w:tc>
          <w:tcPr>
            <w:tcW w:type="dxa" w:w="2400"/>
            <w:vAlign w:val="center"/>
          </w:tcPr>
          <w:p>
            <w:r>
              <w:rPr>
                <w:b w:val="false"/>
                <w:bCs w:val="false"/>
                <w:color w:val="000000"/>
                <w:sz w:val="18"/>
                <w:szCs w:val="18"/>
              </w:rPr>
              <w:t xml:space="preserve">Reports &amp; insights for the client</w:t>
            </w:r>
          </w:p>
        </w:tc>
        <w:tc>
          <w:tcPr>
            <w:tcW w:type="dxa" w:w="4200"/>
            <w:vAlign w:val="center"/>
          </w:tcPr>
          <w:p>
            <w:r>
              <w:rPr>
                <w:b w:val="false"/>
                <w:bCs w:val="false"/>
                <w:color w:val="000000"/>
                <w:sz w:val="18"/>
                <w:szCs w:val="18"/>
              </w:rPr>
              <w:t xml:space="preserve">All system data → real-time reports &amp; insights</w:t>
            </w:r>
          </w:p>
        </w:tc>
        <w:tc>
          <w:tcPr>
            <w:tcW w:type="dxa" w:w="1926"/>
            <w:vAlign w:val="center"/>
          </w:tcPr>
          <w:p>
            <w:r>
              <w:rPr>
                <w:b w:val="false"/>
                <w:bCs w:val="false"/>
                <w:color w:val="000000"/>
                <w:sz w:val="18"/>
                <w:szCs w:val="18"/>
              </w:rPr>
              <w:t xml:space="preserve">PGC</w:t>
            </w:r>
          </w:p>
        </w:tc>
      </w:tr>
    </w:tbl>
    <w:p>
      <w:pPr>
        <w:spacing w:after="140"/>
      </w:pPr>
      <w:r>
        <w:rPr>
          <w:b w:val="false"/>
          <w:bCs w:val="false"/>
          <w:i/>
          <w:iCs/>
        </w:rPr>
        <w:t xml:space="preserve">Step 15 (critical-role tiering and succession slate) is not numbered in the client's technology flow sheet but is required to connect Step 14 (priority scoring) to Step 17 (reporting); it is added to this PRD's scope as Module K/L below and should be confirmed with the client as Step 15.</w:t>
      </w:r>
    </w:p>
    <w:p>
      <w:pPr>
        <w:pStyle w:val="Heading1"/>
        <w:spacing w:after="160" w:before="320"/>
      </w:pPr>
      <w:r>
        <w:t xml:space="preserve">8. Functional Requirements</w:t>
      </w:r>
    </w:p>
    <w:p>
      <w:pPr>
        <w:pStyle w:val="Heading2"/>
        <w:spacing w:after="120" w:before="240"/>
      </w:pPr>
      <w:r>
        <w:t xml:space="preserve">Module A — Tenant &amp; Access Management (Step 1)</w:t>
      </w:r>
    </w:p>
    <w:p>
      <w:pPr>
        <w:pStyle w:val="ListParagraph"/>
        <w:numPr>
          <w:ilvl w:val="0"/>
          <w:numId w:val="1"/>
        </w:numPr>
        <w:spacing w:after="60"/>
      </w:pPr>
      <w:r>
        <w:t xml:space="preserve">PGC admin can create a new client tenant with isolated data storage.</w:t>
      </w:r>
    </w:p>
    <w:p>
      <w:pPr>
        <w:pStyle w:val="ListParagraph"/>
        <w:numPr>
          <w:ilvl w:val="0"/>
          <w:numId w:val="1"/>
        </w:numPr>
        <w:spacing w:after="60"/>
      </w:pPr>
      <w:r>
        <w:t xml:space="preserve">PGC admin assigns admin/edit/view roles within a tenant, mapped to the personas in Section 6.</w:t>
      </w:r>
    </w:p>
    <w:p>
      <w:pPr>
        <w:pStyle w:val="ListParagraph"/>
        <w:numPr>
          <w:ilvl w:val="0"/>
          <w:numId w:val="1"/>
        </w:numPr>
        <w:spacing w:after="60"/>
      </w:pPr>
      <w:r>
        <w:t xml:space="preserve">Role-based access control enforced at the API layer, not only in the UI — a client-role user must be structurally unable to reach PGC-hidden functionality (Module F).</w:t>
      </w:r>
    </w:p>
    <w:p>
      <w:pPr>
        <w:pStyle w:val="Heading2"/>
        <w:spacing w:after="120" w:before="240"/>
      </w:pPr>
      <w:r>
        <w:t xml:space="preserve">Module B — Employee, Role &amp; Vacancy Data (Step 2)</w:t>
      </w:r>
    </w:p>
    <w:p>
      <w:pPr>
        <w:pStyle w:val="ListParagraph"/>
        <w:numPr>
          <w:ilvl w:val="0"/>
          <w:numId w:val="1"/>
        </w:numPr>
        <w:spacing w:after="60"/>
      </w:pPr>
      <w:r>
        <w:t xml:space="preserve">Downloadable CSV template covering: grade/band structure, designation, employee master (name, code, grade/band, designation, function, department, tenure, qualification, DOJ, last promotion date), reporting line, and vacant positions (role, grade, designation, qualification required, target start date).</w:t>
      </w:r>
    </w:p>
    <w:p>
      <w:pPr>
        <w:pStyle w:val="ListParagraph"/>
        <w:numPr>
          <w:ilvl w:val="0"/>
          <w:numId w:val="1"/>
        </w:numPr>
        <w:spacing w:after="60"/>
      </w:pPr>
      <w:r>
        <w:t xml:space="preserve">Upload validated by the system (format, mandatory fields, duplicate employee codes) before PGC confirms and publishes to the tenant.</w:t>
      </w:r>
    </w:p>
    <w:p>
      <w:pPr>
        <w:pStyle w:val="ListParagraph"/>
        <w:numPr>
          <w:ilvl w:val="0"/>
          <w:numId w:val="1"/>
        </w:numPr>
        <w:spacing w:after="60"/>
      </w:pPr>
      <w:r>
        <w:t xml:space="preserve">Name-collision handling: the system must flag two employees sharing the same name for manual disambiguation before they enter downstream workflows — this was a real data-quality issue in the manual process and must not recur.</w:t>
      </w:r>
    </w:p>
    <w:p>
      <w:pPr>
        <w:pStyle w:val="Heading2"/>
        <w:spacing w:after="120" w:before="240"/>
      </w:pPr>
      <w:r>
        <w:t xml:space="preserve">Module C — Org Structure &amp; Manpower Analytics (Step 3)</w:t>
      </w:r>
    </w:p>
    <w:p>
      <w:pPr>
        <w:pStyle w:val="ListParagraph"/>
        <w:numPr>
          <w:ilvl w:val="0"/>
          <w:numId w:val="1"/>
        </w:numPr>
        <w:spacing w:after="60"/>
      </w:pPr>
      <w:r>
        <w:t xml:space="preserve">System-generated org chart from the employee-to-manager mapping, per division.</w:t>
      </w:r>
    </w:p>
    <w:p>
      <w:pPr>
        <w:pStyle w:val="ListParagraph"/>
        <w:numPr>
          <w:ilvl w:val="0"/>
          <w:numId w:val="1"/>
        </w:numPr>
        <w:spacing w:after="60"/>
      </w:pPr>
      <w:r>
        <w:t xml:space="preserve">Manpower pyramid: headcount by grade band, filterable by division/function.</w:t>
      </w:r>
    </w:p>
    <w:p>
      <w:pPr>
        <w:pStyle w:val="ListParagraph"/>
        <w:numPr>
          <w:ilvl w:val="0"/>
          <w:numId w:val="1"/>
        </w:numPr>
        <w:spacing w:after="60"/>
      </w:pPr>
      <w:r>
        <w:t xml:space="preserve">Retirement risk register: computed from date-of-birth/tenure fields against a configurable retirement age, ranked by urgency.</w:t>
      </w:r>
    </w:p>
    <w:p>
      <w:pPr>
        <w:pStyle w:val="ListParagraph"/>
        <w:numPr>
          <w:ilvl w:val="0"/>
          <w:numId w:val="1"/>
        </w:numPr>
        <w:spacing w:after="60"/>
      </w:pPr>
      <w:r>
        <w:t xml:space="preserve">Multi-year manpower and hiring projection, computed forward from current headcount, retirements and vacant positions.</w:t>
      </w:r>
    </w:p>
    <w:p>
      <w:pPr>
        <w:pStyle w:val="Heading2"/>
        <w:spacing w:after="120" w:before="240"/>
      </w:pPr>
      <w:r>
        <w:t xml:space="preserve">Module D — Role Description Builder (Step 4)</w:t>
      </w:r>
    </w:p>
    <w:p>
      <w:pPr>
        <w:pStyle w:val="ListParagraph"/>
        <w:numPr>
          <w:ilvl w:val="0"/>
          <w:numId w:val="1"/>
        </w:numPr>
        <w:spacing w:after="60"/>
      </w:pPr>
      <w:r>
        <w:t xml:space="preserve">Standard role-description template: role definition, key responsibilities, KPIs, role specification/experience required, and the ASK requirements for the role.</w:t>
      </w:r>
    </w:p>
    <w:p>
      <w:pPr>
        <w:pStyle w:val="ListParagraph"/>
        <w:numPr>
          <w:ilvl w:val="0"/>
          <w:numId w:val="1"/>
        </w:numPr>
        <w:spacing w:after="60"/>
      </w:pPr>
      <w:r>
        <w:t xml:space="preserve">Manager/HOD enters the description directly on the platform, including equipment/machinery and defined-process references (ISO, 5S, TPM) relevant to manufacturing roles.</w:t>
      </w:r>
    </w:p>
    <w:p>
      <w:pPr>
        <w:pStyle w:val="ListParagraph"/>
        <w:numPr>
          <w:ilvl w:val="0"/>
          <w:numId w:val="1"/>
        </w:numPr>
        <w:spacing w:after="60"/>
      </w:pPr>
      <w:r>
        <w:t xml:space="preserve">Optional “AI refine” action available to the client user, to tidy grammar/structure of a manager-authored draft — this is a lightweight, client-visible AI feature, distinct from the hidden KS-generation engine in Module F.</w:t>
      </w:r>
    </w:p>
    <w:p>
      <w:pPr>
        <w:pStyle w:val="ListParagraph"/>
        <w:numPr>
          <w:ilvl w:val="0"/>
          <w:numId w:val="1"/>
        </w:numPr>
        <w:spacing w:after="60"/>
      </w:pPr>
      <w:r>
        <w:t xml:space="preserve">HOD validation/sign-off recorded per role description before it is considered final.</w:t>
      </w:r>
    </w:p>
    <w:p>
      <w:pPr>
        <w:pStyle w:val="Heading2"/>
        <w:spacing w:after="120" w:before="240"/>
      </w:pPr>
      <w:r>
        <w:t xml:space="preserve">Module E — Role Overlap &amp; Duplicate Audit (Step 5)</w:t>
      </w:r>
    </w:p>
    <w:p>
      <w:pPr>
        <w:pStyle w:val="ListParagraph"/>
        <w:numPr>
          <w:ilvl w:val="0"/>
          <w:numId w:val="1"/>
        </w:numPr>
        <w:spacing w:after="60"/>
      </w:pPr>
      <w:r>
        <w:t xml:space="preserve">PGC-facing tool that surfaces likely duplicate or overlapping role descriptions (title/content similarity) across functions and divisions.</w:t>
      </w:r>
    </w:p>
    <w:p>
      <w:pPr>
        <w:pStyle w:val="ListParagraph"/>
        <w:numPr>
          <w:ilvl w:val="0"/>
          <w:numId w:val="1"/>
        </w:numPr>
        <w:spacing w:after="60"/>
      </w:pPr>
      <w:r>
        <w:t xml:space="preserve">PGC merges confirmed duplicates and flags genuine overlaps back to the client for resolution.</w:t>
      </w:r>
    </w:p>
    <w:p>
      <w:pPr>
        <w:pStyle w:val="Heading2"/>
        <w:spacing w:after="120" w:before="240"/>
      </w:pPr>
      <w:r>
        <w:t xml:space="preserve">Module F — Success Behaviours Administration (Step 6)</w:t>
      </w:r>
    </w:p>
    <w:p>
      <w:pPr>
        <w:pStyle w:val="ListParagraph"/>
        <w:numPr>
          <w:ilvl w:val="0"/>
          <w:numId w:val="1"/>
        </w:numPr>
        <w:spacing w:after="60"/>
      </w:pPr>
      <w:r>
        <w:t xml:space="preserve">The five Success Behaviours (and any client-specific set defined via off-platform FGD) are entered into the system by a PGC admin as structured records: code, name, definition, and the four-level behaviour scale (Learning → Doing with Support → Doing Independently → Guiding Others).</w:t>
      </w:r>
    </w:p>
    <w:p>
      <w:pPr>
        <w:pStyle w:val="ListParagraph"/>
        <w:numPr>
          <w:ilvl w:val="0"/>
          <w:numId w:val="1"/>
        </w:numPr>
        <w:spacing w:after="60"/>
      </w:pPr>
      <w:r>
        <w:t xml:space="preserve">This module is data entry against a fixed schema — the platform does not attempt to run or replace the FGD itself.</w:t>
      </w:r>
    </w:p>
    <w:p>
      <w:pPr>
        <w:pStyle w:val="Heading2"/>
        <w:spacing w:after="120" w:before="240"/>
      </w:pPr>
      <w:r>
        <w:t xml:space="preserve">Module G — AI-Assisted Knowledge &amp; Skill Cluster Generation (Step 7 — PGC-hidden)</w:t>
      </w:r>
    </w:p>
    <w:p>
      <w:pPr>
        <w:pStyle w:val="ListParagraph"/>
        <w:numPr>
          <w:ilvl w:val="0"/>
          <w:numId w:val="1"/>
        </w:numPr>
        <w:spacing w:after="60"/>
      </w:pPr>
      <w:r>
        <w:t xml:space="preserve">Admin-only console where a PGC user runs role descriptions through a curated, versioned prompt sequence to generate candidate functional Knowledge/Skill clusters (code, name, definition, four-level functional scale) per department.</w:t>
      </w:r>
    </w:p>
    <w:p>
      <w:pPr>
        <w:pStyle w:val="ListParagraph"/>
        <w:numPr>
          <w:ilvl w:val="0"/>
          <w:numId w:val="1"/>
        </w:numPr>
        <w:spacing w:after="60"/>
      </w:pPr>
      <w:r>
        <w:t xml:space="preserve">Generated output is a draft requiring PGC review/edit before it is published into the client-visible ASK dictionary (Module I).</w:t>
      </w:r>
    </w:p>
    <w:p>
      <w:pPr>
        <w:pStyle w:val="ListParagraph"/>
        <w:numPr>
          <w:ilvl w:val="0"/>
          <w:numId w:val="1"/>
        </w:numPr>
        <w:spacing w:after="60"/>
      </w:pPr>
      <w:r>
        <w:t xml:space="preserve">This module and its prompt library must be technically inaccessible to any client-role user — this is PGC's core methodology IP and the client's own scope document explicitly marks it hidden.</w:t>
      </w:r>
    </w:p>
    <w:p>
      <w:pPr>
        <w:pStyle w:val="ListParagraph"/>
        <w:numPr>
          <w:ilvl w:val="0"/>
          <w:numId w:val="1"/>
        </w:numPr>
        <w:spacing w:after="60"/>
      </w:pPr>
      <w:r>
        <w:t xml:space="preserve">All generations and edits are logged (who ran it, what input, what was edited before publish) for IP-protection and quality audit purposes.</w:t>
      </w:r>
    </w:p>
    <w:p>
      <w:pPr>
        <w:pStyle w:val="Heading2"/>
        <w:spacing w:after="120" w:before="240"/>
      </w:pPr>
      <w:r>
        <w:t xml:space="preserve">Module H — ASK Matrix &amp; Desired Level Configuration (Step 8)</w:t>
      </w:r>
    </w:p>
    <w:p>
      <w:pPr>
        <w:pStyle w:val="ListParagraph"/>
        <w:numPr>
          <w:ilvl w:val="0"/>
          <w:numId w:val="1"/>
        </w:numPr>
        <w:spacing w:after="60"/>
      </w:pPr>
      <w:r>
        <w:t xml:space="preserve">PGC configures the Desired Level (DL) for every Success Behaviour and every functional skill, against every grade band (S3, E1–E4, M1–M4, LM1–LM2).</w:t>
      </w:r>
    </w:p>
    <w:p>
      <w:pPr>
        <w:pStyle w:val="ListParagraph"/>
        <w:numPr>
          <w:ilvl w:val="0"/>
          <w:numId w:val="1"/>
        </w:numPr>
        <w:spacing w:after="60"/>
      </w:pPr>
      <w:r>
        <w:t xml:space="preserve">Default behaviour-level progression (L1 at S3/E1, L2 at E2–E4, L3 at M1–M2, L4 at M3+) should be a configurable starting template, not a hard-coded rule, since functional skill levels are set skill-by-skill and do not follow a single formula.</w:t>
      </w:r>
    </w:p>
    <w:p>
      <w:pPr>
        <w:pStyle w:val="ListParagraph"/>
        <w:numPr>
          <w:ilvl w:val="0"/>
          <w:numId w:val="1"/>
        </w:numPr>
        <w:spacing w:after="60"/>
      </w:pPr>
      <w:r>
        <w:t xml:space="preserve">Every employee is mapped to their role's specific ASK requirements automatically once role and grade are known.</w:t>
      </w:r>
    </w:p>
    <w:p>
      <w:pPr>
        <w:pStyle w:val="Heading2"/>
        <w:spacing w:after="120" w:before="240"/>
      </w:pPr>
      <w:r>
        <w:t xml:space="preserve">Module I — ASK Dictionary Report (Step 9)</w:t>
      </w:r>
    </w:p>
    <w:p>
      <w:pPr>
        <w:pStyle w:val="ListParagraph"/>
        <w:numPr>
          <w:ilvl w:val="0"/>
          <w:numId w:val="1"/>
        </w:numPr>
        <w:spacing w:after="60"/>
      </w:pPr>
      <w:r>
        <w:t xml:space="preserve">System-generated report combining: Section 1 role list and descriptions, Section 2 functional skills dictionary, Section 3 Success Behaviours dictionary, Section 4 the ASK conversation process reference — regenerated on demand from live system data, not hand-assembled.</w:t>
      </w:r>
    </w:p>
    <w:p>
      <w:pPr>
        <w:pStyle w:val="ListParagraph"/>
        <w:numPr>
          <w:ilvl w:val="0"/>
          <w:numId w:val="1"/>
        </w:numPr>
        <w:spacing w:after="60"/>
      </w:pPr>
      <w:r>
        <w:t xml:space="preserve">Exportable (PDF/print) for offline distribution where required.</w:t>
      </w:r>
    </w:p>
    <w:p>
      <w:pPr>
        <w:pStyle w:val="Heading2"/>
        <w:spacing w:after="120" w:before="240"/>
      </w:pPr>
      <w:r>
        <w:t xml:space="preserve">Module J — Client Review &amp; Approval Workflow (Step 10)</w:t>
      </w:r>
    </w:p>
    <w:p>
      <w:pPr>
        <w:pStyle w:val="ListParagraph"/>
        <w:numPr>
          <w:ilvl w:val="0"/>
          <w:numId w:val="1"/>
        </w:numPr>
        <w:spacing w:after="60"/>
      </w:pPr>
      <w:r>
        <w:t xml:space="preserve">The generated framework (matrix, desired levels, dictionary, assessment form) is routed to named sponsors for review.</w:t>
      </w:r>
    </w:p>
    <w:p>
      <w:pPr>
        <w:pStyle w:val="ListParagraph"/>
        <w:numPr>
          <w:ilvl w:val="0"/>
          <w:numId w:val="1"/>
        </w:numPr>
        <w:spacing w:after="60"/>
      </w:pPr>
      <w:r>
        <w:t xml:space="preserve">Explicit approve/reject action per section, with comments; approval locks the framework version so it cannot be silently edited once assessment begins.</w:t>
      </w:r>
    </w:p>
    <w:p>
      <w:pPr>
        <w:pStyle w:val="ListParagraph"/>
        <w:numPr>
          <w:ilvl w:val="0"/>
          <w:numId w:val="1"/>
        </w:numPr>
        <w:spacing w:after="60"/>
      </w:pPr>
      <w:r>
        <w:t xml:space="preserve">A locked framework is versioned — subsequent cycles create a new version rather than overwriting history, since gap trends across cycles are a leadership-level question.</w:t>
      </w:r>
    </w:p>
    <w:p>
      <w:pPr>
        <w:pStyle w:val="Heading2"/>
        <w:spacing w:after="120" w:before="240"/>
      </w:pPr>
      <w:r>
        <w:t xml:space="preserve">Module K — Assessment Workflow Engine (Steps 11–12)</w:t>
      </w:r>
    </w:p>
    <w:p>
      <w:pPr>
        <w:pStyle w:val="ListParagraph"/>
        <w:numPr>
          <w:ilvl w:val="0"/>
          <w:numId w:val="1"/>
        </w:numPr>
        <w:spacing w:after="60"/>
      </w:pPr>
      <w:r>
        <w:t xml:space="preserve">Training-readiness flag: an employee/manager cannot start their assessment until marked trained on the ASK conversation (Step 11 remains a PGC-delivered training, but the platform gates assessment start on a completion flag).</w:t>
      </w:r>
    </w:p>
    <w:p>
      <w:pPr>
        <w:pStyle w:val="ListParagraph"/>
        <w:numPr>
          <w:ilvl w:val="0"/>
          <w:numId w:val="1"/>
        </w:numPr>
        <w:spacing w:after="60"/>
      </w:pPr>
      <w:r>
        <w:t xml:space="preserve">Assessment state machine per person, per cycle: Not Started → Self-Assessment Submitted → Manager Assessment Submitted → Reconciliation In Progress → Escalated to Skip Manager (conditional) → Agreed &amp; Signed → Submitted to HR.</w:t>
      </w:r>
    </w:p>
    <w:p>
      <w:pPr>
        <w:pStyle w:val="ListParagraph"/>
        <w:numPr>
          <w:ilvl w:val="0"/>
          <w:numId w:val="1"/>
        </w:numPr>
        <w:spacing w:after="60"/>
      </w:pPr>
      <w:r>
        <w:t xml:space="preserve">ASK form on-platform, replicating the paper structure: header block, Knowledge &amp; Skills table (DL/SAL/MAL/Gap/Description for Improvement per skill), Success Behaviours table (same five columns), and four sign-offs (Employee, Manager, Skip Manager, Head HR).</w:t>
      </w:r>
    </w:p>
    <w:p>
      <w:pPr>
        <w:pStyle w:val="ListParagraph"/>
        <w:numPr>
          <w:ilvl w:val="0"/>
          <w:numId w:val="1"/>
        </w:numPr>
        <w:spacing w:after="60"/>
      </w:pPr>
      <w:r>
        <w:t xml:space="preserve">Disagreement handling: where employee and manager do not converge, the system routes the item to the Skip Manager, whose decision is final and recorded against organisational authority, not a voting/consensus mechanism.</w:t>
      </w:r>
    </w:p>
    <w:p>
      <w:pPr>
        <w:pStyle w:val="ListParagraph"/>
        <w:numPr>
          <w:ilvl w:val="0"/>
          <w:numId w:val="1"/>
        </w:numPr>
        <w:spacing w:after="60"/>
      </w:pPr>
      <w:r>
        <w:t xml:space="preserve">Outstanding Assessments Report: live list of employees who self-assessed but have no manager assessment yet, and employees in the master file not yet assessed at all — each with an owner and the specific downstream item it blocks (e.g. “gap cannot be computed”, “priority score understated”).</w:t>
      </w:r>
    </w:p>
    <w:p>
      <w:pPr>
        <w:pStyle w:val="Heading2"/>
        <w:spacing w:after="120" w:before="240"/>
      </w:pPr>
      <w:r>
        <w:t xml:space="preserve">Module L — Consolidation &amp; Gap Computation Engine (Step 13)</w:t>
      </w:r>
    </w:p>
    <w:p>
      <w:pPr>
        <w:pStyle w:val="ListParagraph"/>
        <w:numPr>
          <w:ilvl w:val="0"/>
          <w:numId w:val="1"/>
        </w:numPr>
        <w:spacing w:after="60"/>
      </w:pPr>
      <w:r>
        <w:t xml:space="preserve">Automatic consolidation of approved/signed assessments into a single clean dataset, keyed by employee code (never by name, to avoid the same-name collision seen in the manual process).</w:t>
      </w:r>
    </w:p>
    <w:p>
      <w:pPr>
        <w:pStyle w:val="ListParagraph"/>
        <w:numPr>
          <w:ilvl w:val="0"/>
          <w:numId w:val="1"/>
        </w:numPr>
        <w:spacing w:after="60"/>
      </w:pPr>
      <w:r>
        <w:t xml:space="preserve">Gap = Manager Assessment Level (MAL) minus Desired Level (DL). This direction must be hard-coded exactly this way — the source dictionary's narrative text describes it the opposite way in places, but the working data and its computed values consistently use MAL minus DL, and that is the version the platform must implement.</w:t>
      </w:r>
    </w:p>
    <w:p>
      <w:pPr>
        <w:pStyle w:val="ListParagraph"/>
        <w:numPr>
          <w:ilvl w:val="0"/>
          <w:numId w:val="1"/>
        </w:numPr>
        <w:spacing w:after="60"/>
      </w:pPr>
      <w:r>
        <w:t xml:space="preserve">Explicit, visible data-quality states rather than silent nulls: NA where MAL or DL is missing; a flagged/orange state for a person not found in the master data; blank (not zero) where SAL/MAL were not entered or not applicable; a distinct flag where the manager assessment specifically is missing, since that specifically prevents the priority score from being fully computed.</w:t>
      </w:r>
    </w:p>
    <w:p>
      <w:pPr>
        <w:pStyle w:val="Heading2"/>
        <w:spacing w:after="120" w:before="240"/>
      </w:pPr>
      <w:r>
        <w:t xml:space="preserve">Module M — Priority Scoring Engine (Step 14)</w:t>
      </w:r>
    </w:p>
    <w:p>
      <w:pPr>
        <w:pStyle w:val="ListParagraph"/>
        <w:numPr>
          <w:ilvl w:val="0"/>
          <w:numId w:val="1"/>
        </w:numPr>
        <w:spacing w:after="60"/>
      </w:pPr>
      <w:r>
        <w:t xml:space="preserve">Weighted score per assessed person: Role Criticality (0–35) + Gap Severity (0–30) + Succession Urgency (0–20) + Market Scarcity (0–15), summing to a Priority Score out of 100.</w:t>
      </w:r>
    </w:p>
    <w:p>
      <w:pPr>
        <w:pStyle w:val="ListParagraph"/>
        <w:numPr>
          <w:ilvl w:val="0"/>
          <w:numId w:val="1"/>
        </w:numPr>
        <w:spacing w:after="60"/>
      </w:pPr>
      <w:r>
        <w:t xml:space="preserve">Score bands to P1 (immediate action) or P2 (high priority) — exact cut points are not specified in the source material (worked examples show 76/71/70 banded P1 and 68 banded P2); this must be confirmed with PGC and made a configurable threshold, not hard-coded, pending that confirmation (see Section 16).</w:t>
      </w:r>
    </w:p>
    <w:p>
      <w:pPr>
        <w:pStyle w:val="ListParagraph"/>
        <w:numPr>
          <w:ilvl w:val="0"/>
          <w:numId w:val="1"/>
        </w:numPr>
        <w:spacing w:after="60"/>
      </w:pPr>
      <w:r>
        <w:t xml:space="preserve">Each register line also carries: person type (critical-role incumbent / succession candidate / depth), succession/critical-role label, retirement date, a Build-or-Buy flag, the Risk Situation classification (Module N), total negative gaps, worst single gap, gap ratio, count of items assessed, the specific behaviours/skills in negative gap named individually, and a recommended intervention text field.</w:t>
      </w:r>
    </w:p>
    <w:p>
      <w:pPr>
        <w:pStyle w:val="ListParagraph"/>
        <w:numPr>
          <w:ilvl w:val="0"/>
          <w:numId w:val="1"/>
        </w:numPr>
        <w:spacing w:after="60"/>
      </w:pPr>
      <w:r>
        <w:t xml:space="preserve">Output is the Training Priority Register, sortable and filterable by score, band, division and function.</w:t>
      </w:r>
    </w:p>
    <w:p>
      <w:pPr>
        <w:pStyle w:val="Heading2"/>
        <w:spacing w:after="120" w:before="240"/>
      </w:pPr>
      <w:r>
        <w:t xml:space="preserve">Module N — Critical Role Definition &amp; Tiering (Step 15)</w:t>
      </w:r>
    </w:p>
    <w:p>
      <w:pPr>
        <w:pStyle w:val="ListParagraph"/>
        <w:numPr>
          <w:ilvl w:val="0"/>
          <w:numId w:val="1"/>
        </w:numPr>
        <w:spacing w:after="60"/>
      </w:pPr>
      <w:r>
        <w:t xml:space="preserve">Reviewer checklist per role against the five criteria: Business Impact, Technical Scarcity, Institutional Knowledge, Vacancy Risk (4–8 week threshold), Thin Succession Depth. This is judgement-assisted, not fully automatable — the system scores how many criteria are checked and flags any role meeting 2 or more as a candidate critical role for Joint validation with leadership, rather than auto-certifying it.</w:t>
      </w:r>
    </w:p>
    <w:p>
      <w:pPr>
        <w:pStyle w:val="ListParagraph"/>
        <w:numPr>
          <w:ilvl w:val="0"/>
          <w:numId w:val="1"/>
        </w:numPr>
        <w:spacing w:after="60"/>
      </w:pPr>
      <w:r>
        <w:t xml:space="preserve">Confirmed critical roles are organised into tiers (Tier 1 strategic leadership, plus further tiers for niche technical, customer-facing and process-continuity roles) and classified into one of four Risk Situations, computed from incumbent gap status × team gap status: Situation 1 Critical (incumbent gaps + team gaps), Situation 2 High (incumbent adequate, team gaps), Situation 3 Medium (incumbent gaps, team adequate), Situation 4 Watch (both adequate).</w:t>
      </w:r>
    </w:p>
    <w:p>
      <w:pPr>
        <w:pStyle w:val="ListParagraph"/>
        <w:numPr>
          <w:ilvl w:val="0"/>
          <w:numId w:val="1"/>
        </w:numPr>
        <w:spacing w:after="60"/>
      </w:pPr>
      <w:r>
        <w:t xml:space="preserve">“Adequate” for this 2×2 classification needs a defined threshold (e.g. no negative gaps, or negative-gap count below a set value) — flagged as an open question in Section 16.</w:t>
      </w:r>
    </w:p>
    <w:p>
      <w:pPr>
        <w:pStyle w:val="Heading2"/>
        <w:spacing w:after="120" w:before="240"/>
      </w:pPr>
      <w:r>
        <w:t xml:space="preserve">Module O — Succession Slate &amp; Readiness Engine (Step 15–16)</w:t>
      </w:r>
    </w:p>
    <w:p>
      <w:pPr>
        <w:pStyle w:val="ListParagraph"/>
        <w:numPr>
          <w:ilvl w:val="0"/>
          <w:numId w:val="1"/>
        </w:numPr>
        <w:spacing w:after="60"/>
      </w:pPr>
      <w:r>
        <w:t xml:space="preserve">Slate maps each confirmed critical role to potential successors at four readiness levels: Emergency Replacement (&lt;6 months), One Move Away (1–3 years / 18–36 months, one structured rotation), Two Moves Away (3–5 years, two rotations crossing function/division), Three Moves Away (6+ years, a three-move long-term pipeline).</w:t>
      </w:r>
    </w:p>
    <w:p>
      <w:pPr>
        <w:pStyle w:val="ListParagraph"/>
        <w:numPr>
          <w:ilvl w:val="0"/>
          <w:numId w:val="1"/>
        </w:numPr>
        <w:spacing w:after="60"/>
      </w:pPr>
      <w:r>
        <w:t xml:space="preserve">An assumptions layer drives every readiness window from a single configurable plan start date: months per development move (default 24, range 18–36), minimum/maximum rotation duration, functional-skill gaps closed per move (default 2 per 24-month cycle), behaviours shifted per move (default 1–2 per cycle). Changing any parameter recalculates all readiness windows.</w:t>
      </w:r>
    </w:p>
    <w:p>
      <w:pPr>
        <w:pStyle w:val="ListParagraph"/>
        <w:numPr>
          <w:ilvl w:val="0"/>
          <w:numId w:val="1"/>
        </w:numPr>
        <w:spacing w:after="60"/>
      </w:pPr>
      <w:r>
        <w:t xml:space="preserve">Candidate readiness draws directly on live ASK gap data (Module L) rather than a manually maintained estimate, and is designed to refresh automatically at each annual assessment cycle.</w:t>
      </w:r>
    </w:p>
    <w:p>
      <w:pPr>
        <w:pStyle w:val="ListParagraph"/>
        <w:numPr>
          <w:ilvl w:val="0"/>
          <w:numId w:val="1"/>
        </w:numPr>
        <w:spacing w:after="60"/>
      </w:pPr>
      <w:r>
        <w:t xml:space="preserve">The platform stores and computes the slate; it does not attempt to replace the facilitated leadership session, the facilitation deck, or the live decision register used to run that session (explicitly out of scope, Section 5.2).</w:t>
      </w:r>
    </w:p>
    <w:p>
      <w:pPr>
        <w:pStyle w:val="Heading2"/>
        <w:spacing w:after="120" w:before="240"/>
      </w:pPr>
      <w:r>
        <w:t xml:space="preserve">Module P — Reports &amp; Insights (Step 17)</w:t>
      </w:r>
    </w:p>
    <w:p>
      <w:pPr>
        <w:pStyle w:val="ListParagraph"/>
        <w:numPr>
          <w:ilvl w:val="0"/>
          <w:numId w:val="1"/>
        </w:numPr>
        <w:spacing w:after="60"/>
      </w:pPr>
      <w:r>
        <w:t xml:space="preserve">Persona-based dashboards: a Chairman/Sponsor executive view (program status, capability gap heatmap, critical-role and succession risk — see the separately delivered Chairman dashboard build prompt for full UI spec), an HR Head operational view, and a Function Head view scoped to their own function.</w:t>
      </w:r>
    </w:p>
    <w:p>
      <w:pPr>
        <w:pStyle w:val="ListParagraph"/>
        <w:numPr>
          <w:ilvl w:val="0"/>
          <w:numId w:val="1"/>
        </w:numPr>
        <w:spacing w:after="60"/>
      </w:pPr>
      <w:r>
        <w:t xml:space="preserve">All dashboards read from the same live, system-computed data as Modules L–O — no separately maintained report data.</w:t>
      </w:r>
    </w:p>
    <w:p>
      <w:pPr>
        <w:pStyle w:val="ListParagraph"/>
        <w:numPr>
          <w:ilvl w:val="0"/>
          <w:numId w:val="1"/>
        </w:numPr>
        <w:spacing w:after="60"/>
      </w:pPr>
      <w:r>
        <w:t xml:space="preserve">Export to PDF/PPT for board-level distribution.</w:t>
      </w:r>
    </w:p>
    <w:p>
      <w:pPr>
        <w:pStyle w:val="Heading1"/>
        <w:spacing w:after="160" w:before="320"/>
      </w:pPr>
      <w:r>
        <w:t xml:space="preserve">9. Data Model</w:t>
      </w:r>
    </w:p>
    <w:p>
      <w:pPr>
        <w:spacing w:after="140"/>
      </w:pPr>
      <w:r>
        <w:rPr>
          <w:b w:val="false"/>
          <w:bCs w:val="false"/>
          <w:i w:val="false"/>
          <w:iCs w:val="false"/>
        </w:rPr>
        <w:t xml:space="preserve">Core entities the platform must persist. Field lists are illustrative, not exhaustive.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2937" w:color="auto" w:val="clear"/>
            <w:vAlign w:val="center"/>
          </w:tcPr>
          <w:p>
            <w:r>
              <w:rPr>
                <w:b/>
                <w:bCs/>
                <w:color w:val="FFFFFF"/>
                <w:sz w:val="18"/>
                <w:szCs w:val="18"/>
              </w:rPr>
              <w:t xml:space="preserve">Entity</w:t>
            </w:r>
          </w:p>
        </w:tc>
        <w:tc>
          <w:tcPr>
            <w:tcW w:type="dxa" w:w="6326"/>
            <w:shd w:fill="1F2937" w:color="auto" w:val="clear"/>
            <w:vAlign w:val="center"/>
          </w:tcPr>
          <w:p>
            <w:r>
              <w:rPr>
                <w:b/>
                <w:bCs/>
                <w:color w:val="FFFFFF"/>
                <w:sz w:val="18"/>
                <w:szCs w:val="18"/>
              </w:rPr>
              <w:t xml:space="preserve">Key attributes</w:t>
            </w:r>
          </w:p>
        </w:tc>
      </w:tr>
      <w:tr>
        <w:tc>
          <w:tcPr>
            <w:tcW w:type="dxa" w:w="2700"/>
            <w:vAlign w:val="center"/>
          </w:tcPr>
          <w:p>
            <w:r>
              <w:rPr>
                <w:b w:val="false"/>
                <w:bCs w:val="false"/>
                <w:color w:val="000000"/>
                <w:sz w:val="18"/>
                <w:szCs w:val="18"/>
              </w:rPr>
              <w:t xml:space="preserve">Tenant</w:t>
            </w:r>
          </w:p>
        </w:tc>
        <w:tc>
          <w:tcPr>
            <w:tcW w:type="dxa" w:w="6326"/>
            <w:vAlign w:val="center"/>
          </w:tcPr>
          <w:p>
            <w:r>
              <w:rPr>
                <w:b w:val="false"/>
                <w:bCs w:val="false"/>
                <w:color w:val="000000"/>
                <w:sz w:val="18"/>
                <w:szCs w:val="18"/>
              </w:rPr>
              <w:t xml:space="preserve">tenant_id, client_name, divisions[]</w:t>
            </w:r>
          </w:p>
        </w:tc>
      </w:tr>
      <w:tr>
        <w:tc>
          <w:tcPr>
            <w:tcW w:type="dxa" w:w="2700"/>
            <w:vAlign w:val="center"/>
          </w:tcPr>
          <w:p>
            <w:r>
              <w:rPr>
                <w:b w:val="false"/>
                <w:bCs w:val="false"/>
                <w:color w:val="000000"/>
                <w:sz w:val="18"/>
                <w:szCs w:val="18"/>
              </w:rPr>
              <w:t xml:space="preserve">Employee</w:t>
            </w:r>
          </w:p>
        </w:tc>
        <w:tc>
          <w:tcPr>
            <w:tcW w:type="dxa" w:w="6326"/>
            <w:vAlign w:val="center"/>
          </w:tcPr>
          <w:p>
            <w:r>
              <w:rPr>
                <w:b w:val="false"/>
                <w:bCs w:val="false"/>
                <w:color w:val="000000"/>
                <w:sz w:val="18"/>
                <w:szCs w:val="18"/>
              </w:rPr>
              <w:t xml:space="preserve">employee_code, name, grade_band, designation, function, department, division, tenure, qualification, doj, last_promotion_date, manager_id, role_id</w:t>
            </w:r>
          </w:p>
        </w:tc>
      </w:tr>
      <w:tr>
        <w:tc>
          <w:tcPr>
            <w:tcW w:type="dxa" w:w="2700"/>
            <w:vAlign w:val="center"/>
          </w:tcPr>
          <w:p>
            <w:r>
              <w:rPr>
                <w:b w:val="false"/>
                <w:bCs w:val="false"/>
                <w:color w:val="000000"/>
                <w:sz w:val="18"/>
                <w:szCs w:val="18"/>
              </w:rPr>
              <w:t xml:space="preserve">Role</w:t>
            </w:r>
          </w:p>
        </w:tc>
        <w:tc>
          <w:tcPr>
            <w:tcW w:type="dxa" w:w="6326"/>
            <w:vAlign w:val="center"/>
          </w:tcPr>
          <w:p>
            <w:r>
              <w:rPr>
                <w:b w:val="false"/>
                <w:bCs w:val="false"/>
                <w:color w:val="000000"/>
                <w:sz w:val="18"/>
                <w:szCs w:val="18"/>
              </w:rPr>
              <w:t xml:space="preserve">role_id, title, function, division, tier (critical 1–4 / none), description_status, ask_status</w:t>
            </w:r>
          </w:p>
        </w:tc>
      </w:tr>
      <w:tr>
        <w:tc>
          <w:tcPr>
            <w:tcW w:type="dxa" w:w="2700"/>
            <w:vAlign w:val="center"/>
          </w:tcPr>
          <w:p>
            <w:r>
              <w:rPr>
                <w:b w:val="false"/>
                <w:bCs w:val="false"/>
                <w:color w:val="000000"/>
                <w:sz w:val="18"/>
                <w:szCs w:val="18"/>
              </w:rPr>
              <w:t xml:space="preserve">VacantPosition</w:t>
            </w:r>
          </w:p>
        </w:tc>
        <w:tc>
          <w:tcPr>
            <w:tcW w:type="dxa" w:w="6326"/>
            <w:vAlign w:val="center"/>
          </w:tcPr>
          <w:p>
            <w:r>
              <w:rPr>
                <w:b w:val="false"/>
                <w:bCs w:val="false"/>
                <w:color w:val="000000"/>
                <w:sz w:val="18"/>
                <w:szCs w:val="18"/>
              </w:rPr>
              <w:t xml:space="preserve">role_id, grade, designation, qualification_required, target_start_date</w:t>
            </w:r>
          </w:p>
        </w:tc>
      </w:tr>
      <w:tr>
        <w:tc>
          <w:tcPr>
            <w:tcW w:type="dxa" w:w="2700"/>
            <w:vAlign w:val="center"/>
          </w:tcPr>
          <w:p>
            <w:r>
              <w:rPr>
                <w:b w:val="false"/>
                <w:bCs w:val="false"/>
                <w:color w:val="000000"/>
                <w:sz w:val="18"/>
                <w:szCs w:val="18"/>
              </w:rPr>
              <w:t xml:space="preserve">GradeBand</w:t>
            </w:r>
          </w:p>
        </w:tc>
        <w:tc>
          <w:tcPr>
            <w:tcW w:type="dxa" w:w="6326"/>
            <w:vAlign w:val="center"/>
          </w:tcPr>
          <w:p>
            <w:r>
              <w:rPr>
                <w:b w:val="false"/>
                <w:bCs w:val="false"/>
                <w:color w:val="000000"/>
                <w:sz w:val="18"/>
                <w:szCs w:val="18"/>
              </w:rPr>
              <w:t xml:space="preserve">band_code (S3, E1–E4, M1–M4, LM1–LM2), designation_label</w:t>
            </w:r>
          </w:p>
        </w:tc>
      </w:tr>
      <w:tr>
        <w:tc>
          <w:tcPr>
            <w:tcW w:type="dxa" w:w="2700"/>
            <w:vAlign w:val="center"/>
          </w:tcPr>
          <w:p>
            <w:r>
              <w:rPr>
                <w:b w:val="false"/>
                <w:bCs w:val="false"/>
                <w:color w:val="000000"/>
                <w:sz w:val="18"/>
                <w:szCs w:val="18"/>
              </w:rPr>
              <w:t xml:space="preserve">SuccessBehaviour</w:t>
            </w:r>
          </w:p>
        </w:tc>
        <w:tc>
          <w:tcPr>
            <w:tcW w:type="dxa" w:w="6326"/>
            <w:vAlign w:val="center"/>
          </w:tcPr>
          <w:p>
            <w:r>
              <w:rPr>
                <w:b w:val="false"/>
                <w:bCs w:val="false"/>
                <w:color w:val="000000"/>
                <w:sz w:val="18"/>
                <w:szCs w:val="18"/>
              </w:rPr>
              <w:t xml:space="preserve">code (SB01–SB05), name, definition, level_scale[1–4]</w:t>
            </w:r>
          </w:p>
        </w:tc>
      </w:tr>
      <w:tr>
        <w:tc>
          <w:tcPr>
            <w:tcW w:type="dxa" w:w="2700"/>
            <w:vAlign w:val="center"/>
          </w:tcPr>
          <w:p>
            <w:r>
              <w:rPr>
                <w:b w:val="false"/>
                <w:bCs w:val="false"/>
                <w:color w:val="000000"/>
                <w:sz w:val="18"/>
                <w:szCs w:val="18"/>
              </w:rPr>
              <w:t xml:space="preserve">FunctionalSkill</w:t>
            </w:r>
          </w:p>
        </w:tc>
        <w:tc>
          <w:tcPr>
            <w:tcW w:type="dxa" w:w="6326"/>
            <w:vAlign w:val="center"/>
          </w:tcPr>
          <w:p>
            <w:r>
              <w:rPr>
                <w:b w:val="false"/>
                <w:bCs w:val="false"/>
                <w:color w:val="000000"/>
                <w:sz w:val="18"/>
                <w:szCs w:val="18"/>
              </w:rPr>
              <w:t xml:space="preserve">code (D-series), function, name, definition, level_scale[1–4]</w:t>
            </w:r>
          </w:p>
        </w:tc>
      </w:tr>
      <w:tr>
        <w:tc>
          <w:tcPr>
            <w:tcW w:type="dxa" w:w="2700"/>
            <w:vAlign w:val="center"/>
          </w:tcPr>
          <w:p>
            <w:r>
              <w:rPr>
                <w:b w:val="false"/>
                <w:bCs w:val="false"/>
                <w:color w:val="000000"/>
                <w:sz w:val="18"/>
                <w:szCs w:val="18"/>
              </w:rPr>
              <w:t xml:space="preserve">DesiredLevelMatrix</w:t>
            </w:r>
          </w:p>
        </w:tc>
        <w:tc>
          <w:tcPr>
            <w:tcW w:type="dxa" w:w="6326"/>
            <w:vAlign w:val="center"/>
          </w:tcPr>
          <w:p>
            <w:r>
              <w:rPr>
                <w:b w:val="false"/>
                <w:bCs w:val="false"/>
                <w:color w:val="000000"/>
                <w:sz w:val="18"/>
                <w:szCs w:val="18"/>
              </w:rPr>
              <w:t xml:space="preserve">role_or_band_id, item_id (skill or behaviour), desired_level</w:t>
            </w:r>
          </w:p>
        </w:tc>
      </w:tr>
      <w:tr>
        <w:tc>
          <w:tcPr>
            <w:tcW w:type="dxa" w:w="2700"/>
            <w:vAlign w:val="center"/>
          </w:tcPr>
          <w:p>
            <w:r>
              <w:rPr>
                <w:b w:val="false"/>
                <w:bCs w:val="false"/>
                <w:color w:val="000000"/>
                <w:sz w:val="18"/>
                <w:szCs w:val="18"/>
              </w:rPr>
              <w:t xml:space="preserve">AssessmentCycle</w:t>
            </w:r>
          </w:p>
        </w:tc>
        <w:tc>
          <w:tcPr>
            <w:tcW w:type="dxa" w:w="6326"/>
            <w:vAlign w:val="center"/>
          </w:tcPr>
          <w:p>
            <w:r>
              <w:rPr>
                <w:b w:val="false"/>
                <w:bCs w:val="false"/>
                <w:color w:val="000000"/>
                <w:sz w:val="18"/>
                <w:szCs w:val="18"/>
              </w:rPr>
              <w:t xml:space="preserve">cycle_id, tenant_id, period, status, plan_start_date</w:t>
            </w:r>
          </w:p>
        </w:tc>
      </w:tr>
      <w:tr>
        <w:tc>
          <w:tcPr>
            <w:tcW w:type="dxa" w:w="2700"/>
            <w:vAlign w:val="center"/>
          </w:tcPr>
          <w:p>
            <w:r>
              <w:rPr>
                <w:b w:val="false"/>
                <w:bCs w:val="false"/>
                <w:color w:val="000000"/>
                <w:sz w:val="18"/>
                <w:szCs w:val="18"/>
              </w:rPr>
              <w:t xml:space="preserve">AssessmentForm</w:t>
            </w:r>
          </w:p>
        </w:tc>
        <w:tc>
          <w:tcPr>
            <w:tcW w:type="dxa" w:w="6326"/>
            <w:vAlign w:val="center"/>
          </w:tcPr>
          <w:p>
            <w:r>
              <w:rPr>
                <w:b w:val="false"/>
                <w:bCs w:val="false"/>
                <w:color w:val="000000"/>
                <w:sz w:val="18"/>
                <w:szCs w:val="18"/>
              </w:rPr>
              <w:t xml:space="preserve">employee_id, cycle_id, status, self_date, manager_date, signatures[4]</w:t>
            </w:r>
          </w:p>
        </w:tc>
      </w:tr>
      <w:tr>
        <w:tc>
          <w:tcPr>
            <w:tcW w:type="dxa" w:w="2700"/>
            <w:vAlign w:val="center"/>
          </w:tcPr>
          <w:p>
            <w:r>
              <w:rPr>
                <w:b w:val="false"/>
                <w:bCs w:val="false"/>
                <w:color w:val="000000"/>
                <w:sz w:val="18"/>
                <w:szCs w:val="18"/>
              </w:rPr>
              <w:t xml:space="preserve">AssessmentLineItem</w:t>
            </w:r>
          </w:p>
        </w:tc>
        <w:tc>
          <w:tcPr>
            <w:tcW w:type="dxa" w:w="6326"/>
            <w:vAlign w:val="center"/>
          </w:tcPr>
          <w:p>
            <w:r>
              <w:rPr>
                <w:b w:val="false"/>
                <w:bCs w:val="false"/>
                <w:color w:val="000000"/>
                <w:sz w:val="18"/>
                <w:szCs w:val="18"/>
              </w:rPr>
              <w:t xml:space="preserve">form_id, item_id, item_type (skill/behaviour), DL, SAL, MAL, gap, notes</w:t>
            </w:r>
          </w:p>
        </w:tc>
      </w:tr>
      <w:tr>
        <w:tc>
          <w:tcPr>
            <w:tcW w:type="dxa" w:w="2700"/>
            <w:vAlign w:val="center"/>
          </w:tcPr>
          <w:p>
            <w:r>
              <w:rPr>
                <w:b w:val="false"/>
                <w:bCs w:val="false"/>
                <w:color w:val="000000"/>
                <w:sz w:val="18"/>
                <w:szCs w:val="18"/>
              </w:rPr>
              <w:t xml:space="preserve">PriorityScoreRecord</w:t>
            </w:r>
          </w:p>
        </w:tc>
        <w:tc>
          <w:tcPr>
            <w:tcW w:type="dxa" w:w="6326"/>
            <w:vAlign w:val="center"/>
          </w:tcPr>
          <w:p>
            <w:r>
              <w:rPr>
                <w:b w:val="false"/>
                <w:bCs w:val="false"/>
                <w:color w:val="000000"/>
                <w:sz w:val="18"/>
                <w:szCs w:val="18"/>
              </w:rPr>
              <w:t xml:space="preserve">employee_id, cycle_id, criticality, gap_severity, succession_urgency, market_scarcity, total, band (P1/P2)</w:t>
            </w:r>
          </w:p>
        </w:tc>
      </w:tr>
      <w:tr>
        <w:tc>
          <w:tcPr>
            <w:tcW w:type="dxa" w:w="2700"/>
            <w:vAlign w:val="center"/>
          </w:tcPr>
          <w:p>
            <w:r>
              <w:rPr>
                <w:b w:val="false"/>
                <w:bCs w:val="false"/>
                <w:color w:val="000000"/>
                <w:sz w:val="18"/>
                <w:szCs w:val="18"/>
              </w:rPr>
              <w:t xml:space="preserve">CriticalRole</w:t>
            </w:r>
          </w:p>
        </w:tc>
        <w:tc>
          <w:tcPr>
            <w:tcW w:type="dxa" w:w="6326"/>
            <w:vAlign w:val="center"/>
          </w:tcPr>
          <w:p>
            <w:r>
              <w:rPr>
                <w:b w:val="false"/>
                <w:bCs w:val="false"/>
                <w:color w:val="000000"/>
                <w:sz w:val="18"/>
                <w:szCs w:val="18"/>
              </w:rPr>
              <w:t xml:space="preserve">role_id, criteria_met[], tier, risk_situation (1–4)</w:t>
            </w:r>
          </w:p>
        </w:tc>
      </w:tr>
      <w:tr>
        <w:tc>
          <w:tcPr>
            <w:tcW w:type="dxa" w:w="2700"/>
            <w:vAlign w:val="center"/>
          </w:tcPr>
          <w:p>
            <w:r>
              <w:rPr>
                <w:b w:val="false"/>
                <w:bCs w:val="false"/>
                <w:color w:val="000000"/>
                <w:sz w:val="18"/>
                <w:szCs w:val="18"/>
              </w:rPr>
              <w:t xml:space="preserve">SuccessionCandidate</w:t>
            </w:r>
          </w:p>
        </w:tc>
        <w:tc>
          <w:tcPr>
            <w:tcW w:type="dxa" w:w="6326"/>
            <w:vAlign w:val="center"/>
          </w:tcPr>
          <w:p>
            <w:r>
              <w:rPr>
                <w:b w:val="false"/>
                <w:bCs w:val="false"/>
                <w:color w:val="000000"/>
                <w:sz w:val="18"/>
                <w:szCs w:val="18"/>
              </w:rPr>
              <w:t xml:space="preserve">role_id, candidate_employee_id, readiness_level (1–4), readiness_date</w:t>
            </w:r>
          </w:p>
        </w:tc>
      </w:tr>
      <w:tr>
        <w:tc>
          <w:tcPr>
            <w:tcW w:type="dxa" w:w="2700"/>
            <w:vAlign w:val="center"/>
          </w:tcPr>
          <w:p>
            <w:r>
              <w:rPr>
                <w:b w:val="false"/>
                <w:bCs w:val="false"/>
                <w:color w:val="000000"/>
                <w:sz w:val="18"/>
                <w:szCs w:val="18"/>
              </w:rPr>
              <w:t xml:space="preserve">AssumptionsConfig</w:t>
            </w:r>
          </w:p>
        </w:tc>
        <w:tc>
          <w:tcPr>
            <w:tcW w:type="dxa" w:w="6326"/>
            <w:vAlign w:val="center"/>
          </w:tcPr>
          <w:p>
            <w:r>
              <w:rPr>
                <w:b w:val="false"/>
                <w:bCs w:val="false"/>
                <w:color w:val="000000"/>
                <w:sz w:val="18"/>
                <w:szCs w:val="18"/>
              </w:rPr>
              <w:t xml:space="preserve">tenant_id, months_per_move, min_rotation, max_rotation, gaps_closed_per_move, behaviours_per_move</w:t>
            </w:r>
          </w:p>
        </w:tc>
      </w:tr>
      <w:tr>
        <w:tc>
          <w:tcPr>
            <w:tcW w:type="dxa" w:w="2700"/>
            <w:vAlign w:val="center"/>
          </w:tcPr>
          <w:p>
            <w:r>
              <w:rPr>
                <w:b w:val="false"/>
                <w:bCs w:val="false"/>
                <w:color w:val="000000"/>
                <w:sz w:val="18"/>
                <w:szCs w:val="18"/>
              </w:rPr>
              <w:t xml:space="preserve">OutstandingAssessmentFlag</w:t>
            </w:r>
          </w:p>
        </w:tc>
        <w:tc>
          <w:tcPr>
            <w:tcW w:type="dxa" w:w="6326"/>
            <w:vAlign w:val="center"/>
          </w:tcPr>
          <w:p>
            <w:r>
              <w:rPr>
                <w:b w:val="false"/>
                <w:bCs w:val="false"/>
                <w:color w:val="000000"/>
                <w:sz w:val="18"/>
                <w:szCs w:val="18"/>
              </w:rPr>
              <w:t xml:space="preserve">employee_id, cycle_id, missing_item, owner, blocks[]</w:t>
            </w:r>
          </w:p>
        </w:tc>
      </w:tr>
      <w:tr>
        <w:tc>
          <w:tcPr>
            <w:tcW w:type="dxa" w:w="2700"/>
            <w:vAlign w:val="center"/>
          </w:tcPr>
          <w:p>
            <w:r>
              <w:rPr>
                <w:b w:val="false"/>
                <w:bCs w:val="false"/>
                <w:color w:val="000000"/>
                <w:sz w:val="18"/>
                <w:szCs w:val="18"/>
              </w:rPr>
              <w:t xml:space="preserve">AuditLog</w:t>
            </w:r>
          </w:p>
        </w:tc>
        <w:tc>
          <w:tcPr>
            <w:tcW w:type="dxa" w:w="6326"/>
            <w:vAlign w:val="center"/>
          </w:tcPr>
          <w:p>
            <w:r>
              <w:rPr>
                <w:b w:val="false"/>
                <w:bCs w:val="false"/>
                <w:color w:val="000000"/>
                <w:sz w:val="18"/>
                <w:szCs w:val="18"/>
              </w:rPr>
              <w:t xml:space="preserve">actor, action, entity, before/after, timestamp</w:t>
            </w:r>
          </w:p>
        </w:tc>
      </w:tr>
    </w:tbl>
    <w:p>
      <w:pPr>
        <w:pStyle w:val="Heading1"/>
        <w:spacing w:after="160" w:before="320"/>
      </w:pPr>
      <w:r>
        <w:t xml:space="preserve">10.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1050"/>
        <w:gridCol w:w="1150"/>
        <w:gridCol w:w="1050"/>
        <w:gridCol w:w="1050"/>
        <w:gridCol w:w="1276"/>
      </w:tblGrid>
      <w:tr>
        <w:trPr>
          <w:tblHeader/>
        </w:trPr>
        <w:tc>
          <w:tcPr>
            <w:tcW w:type="dxa" w:w="2400"/>
            <w:shd w:fill="1F2937" w:color="auto" w:val="clear"/>
            <w:vAlign w:val="center"/>
          </w:tcPr>
          <w:p>
            <w:r>
              <w:rPr>
                <w:b/>
                <w:bCs/>
                <w:color w:val="FFFFFF"/>
                <w:sz w:val="18"/>
                <w:szCs w:val="18"/>
              </w:rPr>
              <w:t xml:space="preserve">Capability</w:t>
            </w:r>
          </w:p>
        </w:tc>
        <w:tc>
          <w:tcPr>
            <w:tcW w:type="dxa" w:w="1050"/>
            <w:shd w:fill="1F2937" w:color="auto" w:val="clear"/>
            <w:vAlign w:val="center"/>
          </w:tcPr>
          <w:p>
            <w:r>
              <w:rPr>
                <w:b/>
                <w:bCs/>
                <w:color w:val="FFFFFF"/>
                <w:sz w:val="18"/>
                <w:szCs w:val="18"/>
              </w:rPr>
              <w:t xml:space="preserve">PGC Admin</w:t>
            </w:r>
          </w:p>
        </w:tc>
        <w:tc>
          <w:tcPr>
            <w:tcW w:type="dxa" w:w="1050"/>
            <w:shd w:fill="1F2937" w:color="auto" w:val="clear"/>
            <w:vAlign w:val="center"/>
          </w:tcPr>
          <w:p>
            <w:r>
              <w:rPr>
                <w:b/>
                <w:bCs/>
                <w:color w:val="FFFFFF"/>
                <w:sz w:val="18"/>
                <w:szCs w:val="18"/>
              </w:rPr>
              <w:t xml:space="preserve">HR SPOC</w:t>
            </w:r>
          </w:p>
        </w:tc>
        <w:tc>
          <w:tcPr>
            <w:tcW w:type="dxa" w:w="1150"/>
            <w:shd w:fill="1F2937" w:color="auto" w:val="clear"/>
            <w:vAlign w:val="center"/>
          </w:tcPr>
          <w:p>
            <w:r>
              <w:rPr>
                <w:b/>
                <w:bCs/>
                <w:color w:val="FFFFFF"/>
                <w:sz w:val="18"/>
                <w:szCs w:val="18"/>
              </w:rPr>
              <w:t xml:space="preserve">HOD/Manager</w:t>
            </w:r>
          </w:p>
        </w:tc>
        <w:tc>
          <w:tcPr>
            <w:tcW w:type="dxa" w:w="1050"/>
            <w:shd w:fill="1F2937" w:color="auto" w:val="clear"/>
            <w:vAlign w:val="center"/>
          </w:tcPr>
          <w:p>
            <w:r>
              <w:rPr>
                <w:b/>
                <w:bCs/>
                <w:color w:val="FFFFFF"/>
                <w:sz w:val="18"/>
                <w:szCs w:val="18"/>
              </w:rPr>
              <w:t xml:space="preserve">Employee</w:t>
            </w:r>
          </w:p>
        </w:tc>
        <w:tc>
          <w:tcPr>
            <w:tcW w:type="dxa" w:w="1050"/>
            <w:shd w:fill="1F2937" w:color="auto" w:val="clear"/>
            <w:vAlign w:val="center"/>
          </w:tcPr>
          <w:p>
            <w:r>
              <w:rPr>
                <w:b/>
                <w:bCs/>
                <w:color w:val="FFFFFF"/>
                <w:sz w:val="18"/>
                <w:szCs w:val="18"/>
              </w:rPr>
              <w:t xml:space="preserve">Skip Mgr</w:t>
            </w:r>
          </w:p>
        </w:tc>
        <w:tc>
          <w:tcPr>
            <w:tcW w:type="dxa" w:w="1276"/>
            <w:shd w:fill="1F2937" w:color="auto" w:val="clear"/>
            <w:vAlign w:val="center"/>
          </w:tcPr>
          <w:p>
            <w:r>
              <w:rPr>
                <w:b/>
                <w:bCs/>
                <w:color w:val="FFFFFF"/>
                <w:sz w:val="18"/>
                <w:szCs w:val="18"/>
              </w:rPr>
              <w:t xml:space="preserve">Sponsor (view)</w:t>
            </w:r>
          </w:p>
        </w:tc>
      </w:tr>
      <w:tr>
        <w:tc>
          <w:tcPr>
            <w:tcW w:type="dxa" w:w="2400"/>
            <w:vAlign w:val="center"/>
          </w:tcPr>
          <w:p>
            <w:r>
              <w:rPr>
                <w:b w:val="false"/>
                <w:bCs w:val="false"/>
                <w:color w:val="000000"/>
                <w:sz w:val="18"/>
                <w:szCs w:val="18"/>
              </w:rPr>
              <w:t xml:space="preserve">Tenant/access setup</w:t>
            </w:r>
          </w:p>
        </w:tc>
        <w:tc>
          <w:tcPr>
            <w:tcW w:type="dxa" w:w="10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w:t>
            </w:r>
          </w:p>
        </w:tc>
        <w:tc>
          <w:tcPr>
            <w:tcW w:type="dxa" w:w="11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w:t>
            </w:r>
          </w:p>
        </w:tc>
      </w:tr>
      <w:tr>
        <w:tc>
          <w:tcPr>
            <w:tcW w:type="dxa" w:w="2400"/>
            <w:vAlign w:val="center"/>
          </w:tcPr>
          <w:p>
            <w:r>
              <w:rPr>
                <w:b w:val="false"/>
                <w:bCs w:val="false"/>
                <w:color w:val="000000"/>
                <w:sz w:val="18"/>
                <w:szCs w:val="18"/>
              </w:rPr>
              <w:t xml:space="preserve">Data upload (Module B)</w:t>
            </w:r>
          </w:p>
        </w:tc>
        <w:tc>
          <w:tcPr>
            <w:tcW w:type="dxa" w:w="10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Edit</w:t>
            </w:r>
          </w:p>
        </w:tc>
        <w:tc>
          <w:tcPr>
            <w:tcW w:type="dxa" w:w="11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w:t>
            </w:r>
          </w:p>
        </w:tc>
      </w:tr>
      <w:tr>
        <w:tc>
          <w:tcPr>
            <w:tcW w:type="dxa" w:w="2400"/>
            <w:vAlign w:val="center"/>
          </w:tcPr>
          <w:p>
            <w:r>
              <w:rPr>
                <w:b w:val="false"/>
                <w:bCs w:val="false"/>
                <w:color w:val="000000"/>
                <w:sz w:val="18"/>
                <w:szCs w:val="18"/>
              </w:rPr>
              <w:t xml:space="preserve">Role description (Module D)</w:t>
            </w:r>
          </w:p>
        </w:tc>
        <w:tc>
          <w:tcPr>
            <w:tcW w:type="dxa" w:w="1050"/>
            <w:vAlign w:val="center"/>
          </w:tcPr>
          <w:p>
            <w:r>
              <w:rPr>
                <w:b w:val="false"/>
                <w:bCs w:val="false"/>
                <w:color w:val="000000"/>
                <w:sz w:val="18"/>
                <w:szCs w:val="18"/>
              </w:rPr>
              <w:t xml:space="preserve">View</w:t>
            </w:r>
          </w:p>
        </w:tc>
        <w:tc>
          <w:tcPr>
            <w:tcW w:type="dxa" w:w="1050"/>
            <w:vAlign w:val="center"/>
          </w:tcPr>
          <w:p>
            <w:r>
              <w:rPr>
                <w:b w:val="false"/>
                <w:bCs w:val="false"/>
                <w:color w:val="000000"/>
                <w:sz w:val="18"/>
                <w:szCs w:val="18"/>
              </w:rPr>
              <w:t xml:space="preserve">View</w:t>
            </w:r>
          </w:p>
        </w:tc>
        <w:tc>
          <w:tcPr>
            <w:tcW w:type="dxa" w:w="11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w:t>
            </w:r>
          </w:p>
        </w:tc>
      </w:tr>
      <w:tr>
        <w:tc>
          <w:tcPr>
            <w:tcW w:type="dxa" w:w="2400"/>
            <w:vAlign w:val="center"/>
          </w:tcPr>
          <w:p>
            <w:r>
              <w:rPr>
                <w:b w:val="false"/>
                <w:bCs w:val="false"/>
                <w:color w:val="000000"/>
                <w:sz w:val="18"/>
                <w:szCs w:val="18"/>
              </w:rPr>
              <w:t xml:space="preserve">KS-cluster AI console (Module G)</w:t>
            </w:r>
          </w:p>
        </w:tc>
        <w:tc>
          <w:tcPr>
            <w:tcW w:type="dxa" w:w="10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No access</w:t>
            </w:r>
          </w:p>
        </w:tc>
        <w:tc>
          <w:tcPr>
            <w:tcW w:type="dxa" w:w="1150"/>
            <w:vAlign w:val="center"/>
          </w:tcPr>
          <w:p>
            <w:r>
              <w:rPr>
                <w:b w:val="false"/>
                <w:bCs w:val="false"/>
                <w:color w:val="000000"/>
                <w:sz w:val="18"/>
                <w:szCs w:val="18"/>
              </w:rPr>
              <w:t xml:space="preserve">No access</w:t>
            </w:r>
          </w:p>
        </w:tc>
        <w:tc>
          <w:tcPr>
            <w:tcW w:type="dxa" w:w="1050"/>
            <w:vAlign w:val="center"/>
          </w:tcPr>
          <w:p>
            <w:r>
              <w:rPr>
                <w:b w:val="false"/>
                <w:bCs w:val="false"/>
                <w:color w:val="000000"/>
                <w:sz w:val="18"/>
                <w:szCs w:val="18"/>
              </w:rPr>
              <w:t xml:space="preserve">No access</w:t>
            </w:r>
          </w:p>
        </w:tc>
        <w:tc>
          <w:tcPr>
            <w:tcW w:type="dxa" w:w="1050"/>
            <w:vAlign w:val="center"/>
          </w:tcPr>
          <w:p>
            <w:r>
              <w:rPr>
                <w:b w:val="false"/>
                <w:bCs w:val="false"/>
                <w:color w:val="000000"/>
                <w:sz w:val="18"/>
                <w:szCs w:val="18"/>
              </w:rPr>
              <w:t xml:space="preserve">No access</w:t>
            </w:r>
          </w:p>
        </w:tc>
        <w:tc>
          <w:tcPr>
            <w:tcW w:type="dxa" w:w="1276"/>
            <w:vAlign w:val="center"/>
          </w:tcPr>
          <w:p>
            <w:r>
              <w:rPr>
                <w:b w:val="false"/>
                <w:bCs w:val="false"/>
                <w:color w:val="000000"/>
                <w:sz w:val="18"/>
                <w:szCs w:val="18"/>
              </w:rPr>
              <w:t xml:space="preserve">No access</w:t>
            </w:r>
          </w:p>
        </w:tc>
      </w:tr>
      <w:tr>
        <w:tc>
          <w:tcPr>
            <w:tcW w:type="dxa" w:w="2400"/>
            <w:vAlign w:val="center"/>
          </w:tcPr>
          <w:p>
            <w:r>
              <w:rPr>
                <w:b w:val="false"/>
                <w:bCs w:val="false"/>
                <w:color w:val="000000"/>
                <w:sz w:val="18"/>
                <w:szCs w:val="18"/>
              </w:rPr>
              <w:t xml:space="preserve">ASK matrix config (Module H)</w:t>
            </w:r>
          </w:p>
        </w:tc>
        <w:tc>
          <w:tcPr>
            <w:tcW w:type="dxa" w:w="10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View</w:t>
            </w:r>
          </w:p>
        </w:tc>
        <w:tc>
          <w:tcPr>
            <w:tcW w:type="dxa" w:w="1150"/>
            <w:vAlign w:val="center"/>
          </w:tcPr>
          <w:p>
            <w:r>
              <w:rPr>
                <w:b w:val="false"/>
                <w:bCs w:val="false"/>
                <w:color w:val="000000"/>
                <w:sz w:val="18"/>
                <w:szCs w:val="18"/>
              </w:rPr>
              <w:t xml:space="preserve">View</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w:t>
            </w:r>
          </w:p>
        </w:tc>
      </w:tr>
      <w:tr>
        <w:tc>
          <w:tcPr>
            <w:tcW w:type="dxa" w:w="2400"/>
            <w:vAlign w:val="center"/>
          </w:tcPr>
          <w:p>
            <w:r>
              <w:rPr>
                <w:b w:val="false"/>
                <w:bCs w:val="false"/>
                <w:color w:val="000000"/>
                <w:sz w:val="18"/>
                <w:szCs w:val="18"/>
              </w:rPr>
              <w:t xml:space="preserve">Framework approval (Module J)</w:t>
            </w:r>
          </w:p>
        </w:tc>
        <w:tc>
          <w:tcPr>
            <w:tcW w:type="dxa" w:w="1050"/>
            <w:vAlign w:val="center"/>
          </w:tcPr>
          <w:p>
            <w:r>
              <w:rPr>
                <w:b w:val="false"/>
                <w:bCs w:val="false"/>
                <w:color w:val="000000"/>
                <w:sz w:val="18"/>
                <w:szCs w:val="18"/>
              </w:rPr>
              <w:t xml:space="preserve">View</w:t>
            </w:r>
          </w:p>
        </w:tc>
        <w:tc>
          <w:tcPr>
            <w:tcW w:type="dxa" w:w="1050"/>
            <w:vAlign w:val="center"/>
          </w:tcPr>
          <w:p>
            <w:r>
              <w:rPr>
                <w:b w:val="false"/>
                <w:bCs w:val="false"/>
                <w:color w:val="000000"/>
                <w:sz w:val="18"/>
                <w:szCs w:val="18"/>
              </w:rPr>
              <w:t xml:space="preserve">Approve</w:t>
            </w:r>
          </w:p>
        </w:tc>
        <w:tc>
          <w:tcPr>
            <w:tcW w:type="dxa" w:w="11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View</w:t>
            </w:r>
          </w:p>
        </w:tc>
      </w:tr>
      <w:tr>
        <w:tc>
          <w:tcPr>
            <w:tcW w:type="dxa" w:w="2400"/>
            <w:vAlign w:val="center"/>
          </w:tcPr>
          <w:p>
            <w:r>
              <w:rPr>
                <w:b w:val="false"/>
                <w:bCs w:val="false"/>
                <w:color w:val="000000"/>
                <w:sz w:val="18"/>
                <w:szCs w:val="18"/>
              </w:rPr>
              <w:t xml:space="preserve">Own assessment (Module K)</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150"/>
            <w:vAlign w:val="center"/>
          </w:tcPr>
          <w:p>
            <w:r>
              <w:rPr>
                <w:b w:val="false"/>
                <w:bCs w:val="false"/>
                <w:color w:val="000000"/>
                <w:sz w:val="18"/>
                <w:szCs w:val="18"/>
              </w:rPr>
              <w:t xml:space="preserve">Edit (as manager)</w:t>
            </w:r>
          </w:p>
        </w:tc>
        <w:tc>
          <w:tcPr>
            <w:tcW w:type="dxa" w:w="1050"/>
            <w:vAlign w:val="center"/>
          </w:tcPr>
          <w:p>
            <w:r>
              <w:rPr>
                <w:b w:val="false"/>
                <w:bCs w:val="false"/>
                <w:color w:val="000000"/>
                <w:sz w:val="18"/>
                <w:szCs w:val="18"/>
              </w:rPr>
              <w:t xml:space="preserve">Edit (self)</w:t>
            </w:r>
          </w:p>
        </w:tc>
        <w:tc>
          <w:tcPr>
            <w:tcW w:type="dxa" w:w="1050"/>
            <w:vAlign w:val="center"/>
          </w:tcPr>
          <w:p>
            <w:r>
              <w:rPr>
                <w:b w:val="false"/>
                <w:bCs w:val="false"/>
                <w:color w:val="000000"/>
                <w:sz w:val="18"/>
                <w:szCs w:val="18"/>
              </w:rPr>
              <w:t xml:space="preserve">Edit (escalated items)</w:t>
            </w:r>
          </w:p>
        </w:tc>
        <w:tc>
          <w:tcPr>
            <w:tcW w:type="dxa" w:w="1276"/>
            <w:vAlign w:val="center"/>
          </w:tcPr>
          <w:p>
            <w:r>
              <w:rPr>
                <w:b w:val="false"/>
                <w:bCs w:val="false"/>
                <w:color w:val="000000"/>
                <w:sz w:val="18"/>
                <w:szCs w:val="18"/>
              </w:rPr>
              <w:t xml:space="preserve">—</w:t>
            </w:r>
          </w:p>
        </w:tc>
      </w:tr>
      <w:tr>
        <w:tc>
          <w:tcPr>
            <w:tcW w:type="dxa" w:w="2400"/>
            <w:vAlign w:val="center"/>
          </w:tcPr>
          <w:p>
            <w:r>
              <w:rPr>
                <w:b w:val="false"/>
                <w:bCs w:val="false"/>
                <w:color w:val="000000"/>
                <w:sz w:val="18"/>
                <w:szCs w:val="18"/>
              </w:rPr>
              <w:t xml:space="preserve">Priority register / succession (M–O)</w:t>
            </w:r>
          </w:p>
        </w:tc>
        <w:tc>
          <w:tcPr>
            <w:tcW w:type="dxa" w:w="1050"/>
            <w:vAlign w:val="center"/>
          </w:tcPr>
          <w:p>
            <w:r>
              <w:rPr>
                <w:b w:val="false"/>
                <w:bCs w:val="false"/>
                <w:color w:val="000000"/>
                <w:sz w:val="18"/>
                <w:szCs w:val="18"/>
              </w:rPr>
              <w:t xml:space="preserve">Edit</w:t>
            </w:r>
          </w:p>
        </w:tc>
        <w:tc>
          <w:tcPr>
            <w:tcW w:type="dxa" w:w="1050"/>
            <w:vAlign w:val="center"/>
          </w:tcPr>
          <w:p>
            <w:r>
              <w:rPr>
                <w:b w:val="false"/>
                <w:bCs w:val="false"/>
                <w:color w:val="000000"/>
                <w:sz w:val="18"/>
                <w:szCs w:val="18"/>
              </w:rPr>
              <w:t xml:space="preserve">View</w:t>
            </w:r>
          </w:p>
        </w:tc>
        <w:tc>
          <w:tcPr>
            <w:tcW w:type="dxa" w:w="1150"/>
            <w:vAlign w:val="center"/>
          </w:tcPr>
          <w:p>
            <w:r>
              <w:rPr>
                <w:b w:val="false"/>
                <w:bCs w:val="false"/>
                <w:color w:val="000000"/>
                <w:sz w:val="18"/>
                <w:szCs w:val="18"/>
              </w:rPr>
              <w:t xml:space="preserve">View (own function)</w:t>
            </w:r>
          </w:p>
        </w:tc>
        <w:tc>
          <w:tcPr>
            <w:tcW w:type="dxa" w:w="1050"/>
            <w:vAlign w:val="center"/>
          </w:tcPr>
          <w:p>
            <w:r>
              <w:rPr>
                <w:b w:val="false"/>
                <w:bCs w:val="false"/>
                <w:color w:val="000000"/>
                <w:sz w:val="18"/>
                <w:szCs w:val="18"/>
              </w:rPr>
              <w:t xml:space="preserv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View (summary)</w:t>
            </w:r>
          </w:p>
        </w:tc>
      </w:tr>
      <w:tr>
        <w:tc>
          <w:tcPr>
            <w:tcW w:type="dxa" w:w="2400"/>
            <w:vAlign w:val="center"/>
          </w:tcPr>
          <w:p>
            <w:r>
              <w:rPr>
                <w:b w:val="false"/>
                <w:bCs w:val="false"/>
                <w:color w:val="000000"/>
                <w:sz w:val="18"/>
                <w:szCs w:val="18"/>
              </w:rPr>
              <w:t xml:space="preserve">Dashboards (Module P)</w:t>
            </w:r>
          </w:p>
        </w:tc>
        <w:tc>
          <w:tcPr>
            <w:tcW w:type="dxa" w:w="1050"/>
            <w:vAlign w:val="center"/>
          </w:tcPr>
          <w:p>
            <w:r>
              <w:rPr>
                <w:b w:val="false"/>
                <w:bCs w:val="false"/>
                <w:color w:val="000000"/>
                <w:sz w:val="18"/>
                <w:szCs w:val="18"/>
              </w:rPr>
              <w:t xml:space="preserve">Full</w:t>
            </w:r>
          </w:p>
        </w:tc>
        <w:tc>
          <w:tcPr>
            <w:tcW w:type="dxa" w:w="1050"/>
            <w:vAlign w:val="center"/>
          </w:tcPr>
          <w:p>
            <w:r>
              <w:rPr>
                <w:b w:val="false"/>
                <w:bCs w:val="false"/>
                <w:color w:val="000000"/>
                <w:sz w:val="18"/>
                <w:szCs w:val="18"/>
              </w:rPr>
              <w:t xml:space="preserve">Full</w:t>
            </w:r>
          </w:p>
        </w:tc>
        <w:tc>
          <w:tcPr>
            <w:tcW w:type="dxa" w:w="1150"/>
            <w:vAlign w:val="center"/>
          </w:tcPr>
          <w:p>
            <w:r>
              <w:rPr>
                <w:b w:val="false"/>
                <w:bCs w:val="false"/>
                <w:color w:val="000000"/>
                <w:sz w:val="18"/>
                <w:szCs w:val="18"/>
              </w:rPr>
              <w:t xml:space="preserve">Own function</w:t>
            </w:r>
          </w:p>
        </w:tc>
        <w:tc>
          <w:tcPr>
            <w:tcW w:type="dxa" w:w="1050"/>
            <w:vAlign w:val="center"/>
          </w:tcPr>
          <w:p>
            <w:r>
              <w:rPr>
                <w:b w:val="false"/>
                <w:bCs w:val="false"/>
                <w:color w:val="000000"/>
                <w:sz w:val="18"/>
                <w:szCs w:val="18"/>
              </w:rPr>
              <w:t xml:space="preserve">Own profile</w:t>
            </w:r>
          </w:p>
        </w:tc>
        <w:tc>
          <w:tcPr>
            <w:tcW w:type="dxa" w:w="1050"/>
            <w:vAlign w:val="center"/>
          </w:tcPr>
          <w:p>
            <w:r>
              <w:rPr>
                <w:b w:val="false"/>
                <w:bCs w:val="false"/>
                <w:color w:val="000000"/>
                <w:sz w:val="18"/>
                <w:szCs w:val="18"/>
              </w:rPr>
              <w:t xml:space="preserve">—</w:t>
            </w:r>
          </w:p>
        </w:tc>
        <w:tc>
          <w:tcPr>
            <w:tcW w:type="dxa" w:w="1276"/>
            <w:vAlign w:val="center"/>
          </w:tcPr>
          <w:p>
            <w:r>
              <w:rPr>
                <w:b w:val="false"/>
                <w:bCs w:val="false"/>
                <w:color w:val="000000"/>
                <w:sz w:val="18"/>
                <w:szCs w:val="18"/>
              </w:rPr>
              <w:t xml:space="preserve">Executive view</w:t>
            </w:r>
          </w:p>
        </w:tc>
      </w:tr>
    </w:tbl>
    <w:p>
      <w:pPr>
        <w:pStyle w:val="Heading1"/>
        <w:spacing w:after="160" w:before="320"/>
      </w:pPr>
      <w:r>
        <w:t xml:space="preserve">11. Non-Functional Requirements</w:t>
      </w:r>
    </w:p>
    <w:p>
      <w:pPr>
        <w:pStyle w:val="ListParagraph"/>
        <w:numPr>
          <w:ilvl w:val="0"/>
          <w:numId w:val="1"/>
        </w:numPr>
        <w:spacing w:after="60"/>
      </w:pPr>
      <w:r>
        <w:t xml:space="preserve">Multi-tenant data isolation: no client-role user, including a highly-privileged one, can query across tenants.</w:t>
      </w:r>
    </w:p>
    <w:p>
      <w:pPr>
        <w:pStyle w:val="ListParagraph"/>
        <w:numPr>
          <w:ilvl w:val="0"/>
          <w:numId w:val="1"/>
        </w:numPr>
        <w:spacing w:after="60"/>
      </w:pPr>
      <w:r>
        <w:t xml:space="preserve">Hard access-control boundary (not UI-only) between client-visible modules and PGC-hidden modules (F, G, and the priority-score/critical-role model configuration).</w:t>
      </w:r>
    </w:p>
    <w:p>
      <w:pPr>
        <w:pStyle w:val="ListParagraph"/>
        <w:numPr>
          <w:ilvl w:val="0"/>
          <w:numId w:val="1"/>
        </w:numPr>
        <w:spacing w:after="60"/>
      </w:pPr>
      <w:r>
        <w:t xml:space="preserve">Confidentiality: the ASK dictionary and gap data are marked Confidential in the source material and must be treated as such — encrypted at rest, access-logged, exportable only by authorised roles.</w:t>
      </w:r>
    </w:p>
    <w:p>
      <w:pPr>
        <w:pStyle w:val="ListParagraph"/>
        <w:numPr>
          <w:ilvl w:val="0"/>
          <w:numId w:val="1"/>
        </w:numPr>
        <w:spacing w:after="60"/>
      </w:pPr>
      <w:r>
        <w:t xml:space="preserve">Auditability: every sign-off (Employee, Manager, Skip Manager, Head HR) must be a recorded, timestamped, attributable action equivalent to a signature, not a free-text field.</w:t>
      </w:r>
    </w:p>
    <w:p>
      <w:pPr>
        <w:pStyle w:val="ListParagraph"/>
        <w:numPr>
          <w:ilvl w:val="0"/>
          <w:numId w:val="1"/>
        </w:numPr>
        <w:spacing w:after="60"/>
      </w:pPr>
      <w:r>
        <w:t xml:space="preserve">Data-quality states must be first-class values (NA, orphan-record, missing-manager-assessment), never silently coerced to zero or dropped — this was a deliberate, stated design decision in the manual process and must be preserved.</w:t>
      </w:r>
    </w:p>
    <w:p>
      <w:pPr>
        <w:pStyle w:val="ListParagraph"/>
        <w:numPr>
          <w:ilvl w:val="0"/>
          <w:numId w:val="1"/>
        </w:numPr>
        <w:spacing w:after="60"/>
      </w:pPr>
      <w:r>
        <w:t xml:space="preserve">Performance: the platform should comfortably support a tenant with several hundred to a few thousand employees and remain responsive at consolidation and dashboard-refresh time.</w:t>
      </w:r>
    </w:p>
    <w:p>
      <w:pPr>
        <w:pStyle w:val="ListParagraph"/>
        <w:numPr>
          <w:ilvl w:val="0"/>
          <w:numId w:val="1"/>
        </w:numPr>
        <w:spacing w:after="60"/>
      </w:pPr>
      <w:r>
        <w:t xml:space="preserve">Versioning: a locked ASK framework and each completed assessment cycle must be retained as an immutable version, to support year-over-year gap-trend reporting.</w:t>
      </w:r>
    </w:p>
    <w:p>
      <w:pPr>
        <w:pStyle w:val="ListParagraph"/>
        <w:numPr>
          <w:ilvl w:val="0"/>
          <w:numId w:val="1"/>
        </w:numPr>
        <w:spacing w:after="60"/>
      </w:pPr>
      <w:r>
        <w:t xml:space="preserve">Access from shop-floor supervisory devices (shared terminals / mobile) for the supervisory cadre and above, given the manufacturing-plant context.</w:t>
      </w:r>
    </w:p>
    <w:p>
      <w:pPr>
        <w:pStyle w:val="Heading1"/>
        <w:spacing w:after="160" w:before="320"/>
      </w:pPr>
      <w:r>
        <w:t xml:space="preserve">12. AI / LLM Integration Requirements</w:t>
      </w:r>
    </w:p>
    <w:p>
      <w:pPr>
        <w:pStyle w:val="ListParagraph"/>
        <w:numPr>
          <w:ilvl w:val="0"/>
          <w:numId w:val="1"/>
        </w:numPr>
        <w:spacing w:after="60"/>
      </w:pPr>
      <w:r>
        <w:t xml:space="preserve">Client-visible “AI refine” on role descriptions (Module D): light-touch, editable suggestion, never auto-published without user acceptance.</w:t>
      </w:r>
    </w:p>
    <w:p>
      <w:pPr>
        <w:pStyle w:val="ListParagraph"/>
        <w:numPr>
          <w:ilvl w:val="0"/>
          <w:numId w:val="1"/>
        </w:numPr>
        <w:spacing w:after="60"/>
      </w:pPr>
      <w:r>
        <w:t xml:space="preserve">Admin-only KS-cluster generation engine (Module G): a versioned, curated prompt library, run only by PGC users, with generated output always entering a draft state pending PGC review before publication to a client tenant's live ASK dictionary.</w:t>
      </w:r>
    </w:p>
    <w:p>
      <w:pPr>
        <w:pStyle w:val="ListParagraph"/>
        <w:numPr>
          <w:ilvl w:val="0"/>
          <w:numId w:val="1"/>
        </w:numPr>
        <w:spacing w:after="60"/>
      </w:pPr>
      <w:r>
        <w:t xml:space="preserve">Role overlap/duplicate detection (Module E) may use similarity matching (embedding-based or rule-based) to shortlist candidates for PGC review — it should propose, not auto-merge.</w:t>
      </w:r>
    </w:p>
    <w:p>
      <w:pPr>
        <w:pStyle w:val="ListParagraph"/>
        <w:numPr>
          <w:ilvl w:val="0"/>
          <w:numId w:val="1"/>
        </w:numPr>
        <w:spacing w:after="60"/>
      </w:pPr>
      <w:r>
        <w:t xml:space="preserve">All AI-generated content changes are logged in the AuditLog entity for IP-protection and quality-review purposes.</w:t>
      </w:r>
    </w:p>
    <w:p>
      <w:pPr>
        <w:pStyle w:val="Heading1"/>
        <w:spacing w:after="160" w:before="320"/>
      </w:pPr>
      <w:r>
        <w:t xml:space="preserve">13. Assumptions &amp; Dependencies</w:t>
      </w:r>
    </w:p>
    <w:p>
      <w:pPr>
        <w:pStyle w:val="ListParagraph"/>
        <w:numPr>
          <w:ilvl w:val="0"/>
          <w:numId w:val="1"/>
        </w:numPr>
        <w:spacing w:after="60"/>
      </w:pPr>
      <w:r>
        <w:t xml:space="preserve">The existing KDDL artefacts (ASK dictionary, consolidated Phase 2 gap file, Training Priority Register, succession slate) are available as the source data set for initial migration/backfill into the platform.</w:t>
      </w:r>
    </w:p>
    <w:p>
      <w:pPr>
        <w:pStyle w:val="ListParagraph"/>
        <w:numPr>
          <w:ilvl w:val="0"/>
          <w:numId w:val="1"/>
        </w:numPr>
        <w:spacing w:after="60"/>
      </w:pPr>
      <w:r>
        <w:t xml:space="preserve">PGC continues to deliver, off-platform, the Success Behaviours FGD (Module F's input) and the ASK-conversation training (Module K's gating input) as consulting services.</w:t>
      </w:r>
    </w:p>
    <w:p>
      <w:pPr>
        <w:pStyle w:val="ListParagraph"/>
        <w:numPr>
          <w:ilvl w:val="0"/>
          <w:numId w:val="1"/>
        </w:numPr>
        <w:spacing w:after="60"/>
      </w:pPr>
      <w:r>
        <w:t xml:space="preserve">KDDL's HR SPOC per division remains accountable for data accuracy at the point of upload, consistent with the governance model already in place (weekly SPOC forum, fortnightly core team, monthly sponsor review).</w:t>
      </w:r>
    </w:p>
    <w:p>
      <w:pPr>
        <w:pStyle w:val="ListParagraph"/>
        <w:numPr>
          <w:ilvl w:val="0"/>
          <w:numId w:val="1"/>
        </w:numPr>
        <w:spacing w:after="60"/>
      </w:pPr>
      <w:r>
        <w:t xml:space="preserve">Grade-band structure (S3 through LM2) and the five Success Behaviours are treated as the initial default configuration but must be tenant-configurable to support future PGC clients with different structures.</w:t>
      </w:r>
    </w:p>
    <w:p>
      <w:pPr>
        <w:pStyle w:val="Heading1"/>
        <w:spacing w:after="160" w:before="320"/>
      </w:pPr>
      <w:r>
        <w:t xml:space="preserve">14. Open Questions</w:t>
      </w:r>
    </w:p>
    <w:p>
      <w:pPr>
        <w:pStyle w:val="ListParagraph"/>
        <w:numPr>
          <w:ilvl w:val="0"/>
          <w:numId w:val="1"/>
        </w:numPr>
        <w:spacing w:after="60"/>
      </w:pPr>
      <w:r>
        <w:t xml:space="preserve">What are the exact numeric cut points for the P1 / P2 priority band? The worked examples in the source material (76, 71, 70 → P1; 68 → P2) suggest a boundary around 69–70 but this is not stated as a rule and must be confirmed with PGC before Module M is built.</w:t>
      </w:r>
    </w:p>
    <w:p>
      <w:pPr>
        <w:pStyle w:val="ListParagraph"/>
        <w:numPr>
          <w:ilvl w:val="0"/>
          <w:numId w:val="1"/>
        </w:numPr>
        <w:spacing w:after="60"/>
      </w:pPr>
      <w:r>
        <w:t xml:space="preserve">What counts as “adequate” (vs. “gap”) for the incumbent/team dimensions that drive the four Risk Situations in Module N? Needs a defined threshold (e.g. gap count or severity cut-off), not left as qualitative judgement in a production system.</w:t>
      </w:r>
    </w:p>
    <w:p>
      <w:pPr>
        <w:pStyle w:val="ListParagraph"/>
        <w:numPr>
          <w:ilvl w:val="0"/>
          <w:numId w:val="1"/>
        </w:numPr>
        <w:spacing w:after="60"/>
      </w:pPr>
      <w:r>
        <w:t xml:space="preserve">Is a second PGC client tenant required for the v1 build, or is single-tenant (KDDL only) acceptable for MVP, with multi-tenancy engineered but not yet exercised?</w:t>
      </w:r>
    </w:p>
    <w:p>
      <w:pPr>
        <w:pStyle w:val="ListParagraph"/>
        <w:numPr>
          <w:ilvl w:val="0"/>
          <w:numId w:val="1"/>
        </w:numPr>
        <w:spacing w:after="60"/>
      </w:pPr>
      <w:r>
        <w:t xml:space="preserve">What is the required legal/evidentiary standard for the four on-platform sign-offs — is a logged, attributable platform action sufficient, or is a formal e-signature integration required?</w:t>
      </w:r>
    </w:p>
    <w:p>
      <w:pPr>
        <w:pStyle w:val="ListParagraph"/>
        <w:numPr>
          <w:ilvl w:val="0"/>
          <w:numId w:val="1"/>
        </w:numPr>
        <w:spacing w:after="60"/>
      </w:pPr>
      <w:r>
        <w:t xml:space="preserve">Should Phase 3 (learning architecture, hiring plan, onboarding) be roadmapped as a future platform extension, or does PGC intend to keep that permanently as a manual, off-platform consulting deliverable?</w:t>
      </w:r>
    </w:p>
    <w:p>
      <w:pPr>
        <w:pStyle w:val="Heading1"/>
        <w:spacing w:after="160" w:before="320"/>
      </w:pPr>
      <w:r>
        <w:t xml:space="preserve">15. Release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2937" w:color="auto" w:val="clear"/>
            <w:vAlign w:val="center"/>
          </w:tcPr>
          <w:p>
            <w:r>
              <w:rPr>
                <w:b/>
                <w:bCs/>
                <w:color w:val="FFFFFF"/>
                <w:sz w:val="18"/>
                <w:szCs w:val="18"/>
              </w:rPr>
              <w:t xml:space="preserve">Release</w:t>
            </w:r>
          </w:p>
        </w:tc>
        <w:tc>
          <w:tcPr>
            <w:tcW w:type="dxa" w:w="6826"/>
            <w:shd w:fill="1F2937" w:color="auto" w:val="clear"/>
            <w:vAlign w:val="center"/>
          </w:tcPr>
          <w:p>
            <w:r>
              <w:rPr>
                <w:b/>
                <w:bCs/>
                <w:color w:val="FFFFFF"/>
                <w:sz w:val="18"/>
                <w:szCs w:val="18"/>
              </w:rPr>
              <w:t xml:space="preserve">Scope</w:t>
            </w:r>
          </w:p>
        </w:tc>
      </w:tr>
      <w:tr>
        <w:tc>
          <w:tcPr>
            <w:tcW w:type="dxa" w:w="2200"/>
            <w:vAlign w:val="center"/>
          </w:tcPr>
          <w:p>
            <w:r>
              <w:rPr>
                <w:b w:val="false"/>
                <w:bCs w:val="false"/>
                <w:color w:val="000000"/>
                <w:sz w:val="18"/>
                <w:szCs w:val="18"/>
              </w:rPr>
              <w:t xml:space="preserve">R1 — Foundation</w:t>
            </w:r>
          </w:p>
        </w:tc>
        <w:tc>
          <w:tcPr>
            <w:tcW w:type="dxa" w:w="6826"/>
            <w:vAlign w:val="center"/>
          </w:tcPr>
          <w:p>
            <w:r>
              <w:rPr>
                <w:b w:val="false"/>
                <w:bCs w:val="false"/>
                <w:color w:val="000000"/>
                <w:sz w:val="18"/>
                <w:szCs w:val="18"/>
              </w:rPr>
              <w:t xml:space="preserve">Modules A–C: tenant setup, employee/role/vacancy data upload, org structure &amp; manpower analytics</w:t>
            </w:r>
          </w:p>
        </w:tc>
      </w:tr>
      <w:tr>
        <w:tc>
          <w:tcPr>
            <w:tcW w:type="dxa" w:w="2200"/>
            <w:vAlign w:val="center"/>
          </w:tcPr>
          <w:p>
            <w:r>
              <w:rPr>
                <w:b w:val="false"/>
                <w:bCs w:val="false"/>
                <w:color w:val="000000"/>
                <w:sz w:val="18"/>
                <w:szCs w:val="18"/>
              </w:rPr>
              <w:t xml:space="preserve">R2 — Role &amp; Framework</w:t>
            </w:r>
          </w:p>
        </w:tc>
        <w:tc>
          <w:tcPr>
            <w:tcW w:type="dxa" w:w="6826"/>
            <w:vAlign w:val="center"/>
          </w:tcPr>
          <w:p>
            <w:r>
              <w:rPr>
                <w:b w:val="false"/>
                <w:bCs w:val="false"/>
                <w:color w:val="000000"/>
                <w:sz w:val="18"/>
                <w:szCs w:val="18"/>
              </w:rPr>
              <w:t xml:space="preserve">Modules D–J: role description builder + AI refine, overlap audit, Success Behaviours admin, KS-cluster AI console, ASK matrix config, dictionary report, approval workflow</w:t>
            </w:r>
          </w:p>
        </w:tc>
      </w:tr>
      <w:tr>
        <w:tc>
          <w:tcPr>
            <w:tcW w:type="dxa" w:w="2200"/>
            <w:vAlign w:val="center"/>
          </w:tcPr>
          <w:p>
            <w:r>
              <w:rPr>
                <w:b w:val="false"/>
                <w:bCs w:val="false"/>
                <w:color w:val="000000"/>
                <w:sz w:val="18"/>
                <w:szCs w:val="18"/>
              </w:rPr>
              <w:t xml:space="preserve">R3 — Assessment</w:t>
            </w:r>
          </w:p>
        </w:tc>
        <w:tc>
          <w:tcPr>
            <w:tcW w:type="dxa" w:w="6826"/>
            <w:vAlign w:val="center"/>
          </w:tcPr>
          <w:p>
            <w:r>
              <w:rPr>
                <w:b w:val="false"/>
                <w:bCs w:val="false"/>
                <w:color w:val="000000"/>
                <w:sz w:val="18"/>
                <w:szCs w:val="18"/>
              </w:rPr>
              <w:t xml:space="preserve">Module K: assessment workflow engine, outstanding-assessments tracking</w:t>
            </w:r>
          </w:p>
        </w:tc>
      </w:tr>
      <w:tr>
        <w:tc>
          <w:tcPr>
            <w:tcW w:type="dxa" w:w="2200"/>
            <w:vAlign w:val="center"/>
          </w:tcPr>
          <w:p>
            <w:r>
              <w:rPr>
                <w:b w:val="false"/>
                <w:bCs w:val="false"/>
                <w:color w:val="000000"/>
                <w:sz w:val="18"/>
                <w:szCs w:val="18"/>
              </w:rPr>
              <w:t xml:space="preserve">R4 — Insight Engine</w:t>
            </w:r>
          </w:p>
        </w:tc>
        <w:tc>
          <w:tcPr>
            <w:tcW w:type="dxa" w:w="6826"/>
            <w:vAlign w:val="center"/>
          </w:tcPr>
          <w:p>
            <w:r>
              <w:rPr>
                <w:b w:val="false"/>
                <w:bCs w:val="false"/>
                <w:color w:val="000000"/>
                <w:sz w:val="18"/>
                <w:szCs w:val="18"/>
              </w:rPr>
              <w:t xml:space="preserve">Modules L–O: consolidation &amp; gap computation, priority scoring, critical-role tiering, succession slate &amp; readiness</w:t>
            </w:r>
          </w:p>
        </w:tc>
      </w:tr>
      <w:tr>
        <w:tc>
          <w:tcPr>
            <w:tcW w:type="dxa" w:w="2200"/>
            <w:vAlign w:val="center"/>
          </w:tcPr>
          <w:p>
            <w:r>
              <w:rPr>
                <w:b w:val="false"/>
                <w:bCs w:val="false"/>
                <w:color w:val="000000"/>
                <w:sz w:val="18"/>
                <w:szCs w:val="18"/>
              </w:rPr>
              <w:t xml:space="preserve">R5 — Reporting &amp; Scale</w:t>
            </w:r>
          </w:p>
        </w:tc>
        <w:tc>
          <w:tcPr>
            <w:tcW w:type="dxa" w:w="6826"/>
            <w:vAlign w:val="center"/>
          </w:tcPr>
          <w:p>
            <w:r>
              <w:rPr>
                <w:b w:val="false"/>
                <w:bCs w:val="false"/>
                <w:color w:val="000000"/>
                <w:sz w:val="18"/>
                <w:szCs w:val="18"/>
              </w:rPr>
              <w:t xml:space="preserve">Module P: persona dashboards (incl. Chairman view); multi-tenant onboarding hardening for future PGC clients</w:t>
            </w:r>
          </w:p>
        </w:tc>
      </w:tr>
    </w:tbl>
    <w:p>
      <w:pPr>
        <w:pStyle w:val="Heading1"/>
        <w:spacing w:after="160" w:before="320"/>
      </w:pPr>
      <w:r>
        <w:t xml:space="preserve">Appendix A — ASK Framework Reference</w:t>
      </w:r>
    </w:p>
    <w:p>
      <w:pPr>
        <w:pStyle w:val="Heading2"/>
        <w:spacing w:after="120" w:before="240"/>
      </w:pPr>
      <w:r>
        <w:t xml:space="preserve">A.1 Grade bands</w:t>
      </w:r>
    </w:p>
    <w:p>
      <w:pPr>
        <w:spacing w:after="140"/>
      </w:pPr>
      <w:r>
        <w:rPr>
          <w:b w:val="false"/>
          <w:bCs w:val="false"/>
          <w:i w:val="false"/>
          <w:iCs w:val="false"/>
        </w:rPr>
        <w:t xml:space="preserve">Apex (A1–A3), Leadership (LM1–LM3), Managerial (M1–M4), Executive (E1–E4), Sub-staff (S1–S3), Workmen. Success Behaviour desired levels rise with band: L1 at S3/E1, L2 at E2–E4, L3 at M1–M2, L4 at M3 and above; functional skill desired levels are set skill-by-skill and band-by-band in the KS matrix.</w:t>
      </w:r>
    </w:p>
    <w:p>
      <w:pPr>
        <w:pStyle w:val="Heading2"/>
        <w:spacing w:after="120" w:before="240"/>
      </w:pPr>
      <w:r>
        <w:t xml:space="preserve">A.2 The five Success Behaviours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shd w:fill="1F2937" w:color="auto" w:val="clear"/>
            <w:vAlign w:val="center"/>
          </w:tcPr>
          <w:p>
            <w:r>
              <w:rPr>
                <w:b/>
                <w:bCs/>
                <w:color w:val="FFFFFF"/>
                <w:sz w:val="18"/>
                <w:szCs w:val="18"/>
              </w:rPr>
              <w:t xml:space="preserve">Code</w:t>
            </w:r>
          </w:p>
        </w:tc>
        <w:tc>
          <w:tcPr>
            <w:tcW w:type="dxa" w:w="2600"/>
            <w:shd w:fill="1F2937" w:color="auto" w:val="clear"/>
            <w:vAlign w:val="center"/>
          </w:tcPr>
          <w:p>
            <w:r>
              <w:rPr>
                <w:b/>
                <w:bCs/>
                <w:color w:val="FFFFFF"/>
                <w:sz w:val="18"/>
                <w:szCs w:val="18"/>
              </w:rPr>
              <w:t xml:space="preserve">Behaviour</w:t>
            </w:r>
          </w:p>
        </w:tc>
        <w:tc>
          <w:tcPr>
            <w:tcW w:type="dxa" w:w="5526"/>
            <w:shd w:fill="1F2937" w:color="auto" w:val="clear"/>
            <w:vAlign w:val="center"/>
          </w:tcPr>
          <w:p>
            <w:r>
              <w:rPr>
                <w:b/>
                <w:bCs/>
                <w:color w:val="FFFFFF"/>
                <w:sz w:val="18"/>
                <w:szCs w:val="18"/>
              </w:rPr>
              <w:t xml:space="preserve">Definition</w:t>
            </w:r>
          </w:p>
        </w:tc>
      </w:tr>
      <w:tr>
        <w:tc>
          <w:tcPr>
            <w:tcW w:type="dxa" w:w="900"/>
            <w:vAlign w:val="center"/>
          </w:tcPr>
          <w:p>
            <w:r>
              <w:rPr>
                <w:b w:val="false"/>
                <w:bCs w:val="false"/>
                <w:color w:val="000000"/>
                <w:sz w:val="18"/>
                <w:szCs w:val="18"/>
              </w:rPr>
              <w:t xml:space="preserve">SB01</w:t>
            </w:r>
          </w:p>
        </w:tc>
        <w:tc>
          <w:tcPr>
            <w:tcW w:type="dxa" w:w="2600"/>
            <w:vAlign w:val="center"/>
          </w:tcPr>
          <w:p>
            <w:r>
              <w:rPr>
                <w:b w:val="false"/>
                <w:bCs w:val="false"/>
                <w:color w:val="000000"/>
                <w:sz w:val="18"/>
                <w:szCs w:val="18"/>
              </w:rPr>
              <w:t xml:space="preserve">Ownership and Execution Discipline</w:t>
            </w:r>
          </w:p>
        </w:tc>
        <w:tc>
          <w:tcPr>
            <w:tcW w:type="dxa" w:w="5526"/>
            <w:vAlign w:val="center"/>
          </w:tcPr>
          <w:p>
            <w:r>
              <w:rPr>
                <w:b w:val="false"/>
                <w:bCs w:val="false"/>
                <w:color w:val="000000"/>
                <w:sz w:val="18"/>
                <w:szCs w:val="18"/>
              </w:rPr>
              <w:t xml:space="preserve">Demonstrates commitment to goals, delivers outcomes reliably, follows through with accuracy and consistency.</w:t>
            </w:r>
          </w:p>
        </w:tc>
      </w:tr>
      <w:tr>
        <w:tc>
          <w:tcPr>
            <w:tcW w:type="dxa" w:w="900"/>
            <w:vAlign w:val="center"/>
          </w:tcPr>
          <w:p>
            <w:r>
              <w:rPr>
                <w:b w:val="false"/>
                <w:bCs w:val="false"/>
                <w:color w:val="000000"/>
                <w:sz w:val="18"/>
                <w:szCs w:val="18"/>
              </w:rPr>
              <w:t xml:space="preserve">SB02</w:t>
            </w:r>
          </w:p>
        </w:tc>
        <w:tc>
          <w:tcPr>
            <w:tcW w:type="dxa" w:w="2600"/>
            <w:vAlign w:val="center"/>
          </w:tcPr>
          <w:p>
            <w:r>
              <w:rPr>
                <w:b w:val="false"/>
                <w:bCs w:val="false"/>
                <w:color w:val="000000"/>
                <w:sz w:val="18"/>
                <w:szCs w:val="18"/>
              </w:rPr>
              <w:t xml:space="preserve">Problem Solving and Critical Thinking</w:t>
            </w:r>
          </w:p>
        </w:tc>
        <w:tc>
          <w:tcPr>
            <w:tcW w:type="dxa" w:w="5526"/>
            <w:vAlign w:val="center"/>
          </w:tcPr>
          <w:p>
            <w:r>
              <w:rPr>
                <w:b w:val="false"/>
                <w:bCs w:val="false"/>
                <w:color w:val="000000"/>
                <w:sz w:val="18"/>
                <w:szCs w:val="18"/>
              </w:rPr>
              <w:t xml:space="preserve">Approaches challenges with structured thinking, identifies root causes, applies lasting solutions.</w:t>
            </w:r>
          </w:p>
        </w:tc>
      </w:tr>
      <w:tr>
        <w:tc>
          <w:tcPr>
            <w:tcW w:type="dxa" w:w="900"/>
            <w:vAlign w:val="center"/>
          </w:tcPr>
          <w:p>
            <w:r>
              <w:rPr>
                <w:b w:val="false"/>
                <w:bCs w:val="false"/>
                <w:color w:val="000000"/>
                <w:sz w:val="18"/>
                <w:szCs w:val="18"/>
              </w:rPr>
              <w:t xml:space="preserve">SB03</w:t>
            </w:r>
          </w:p>
        </w:tc>
        <w:tc>
          <w:tcPr>
            <w:tcW w:type="dxa" w:w="2600"/>
            <w:vAlign w:val="center"/>
          </w:tcPr>
          <w:p>
            <w:r>
              <w:rPr>
                <w:b w:val="false"/>
                <w:bCs w:val="false"/>
                <w:color w:val="000000"/>
                <w:sz w:val="18"/>
                <w:szCs w:val="18"/>
              </w:rPr>
              <w:t xml:space="preserve">Collaboration and Influencing</w:t>
            </w:r>
          </w:p>
        </w:tc>
        <w:tc>
          <w:tcPr>
            <w:tcW w:type="dxa" w:w="5526"/>
            <w:vAlign w:val="center"/>
          </w:tcPr>
          <w:p>
            <w:r>
              <w:rPr>
                <w:b w:val="false"/>
                <w:bCs w:val="false"/>
                <w:color w:val="000000"/>
                <w:sz w:val="18"/>
                <w:szCs w:val="18"/>
              </w:rPr>
              <w:t xml:space="preserve">Builds strong relationships, communicates clearly, works across functions toward shared goals.</w:t>
            </w:r>
          </w:p>
        </w:tc>
      </w:tr>
      <w:tr>
        <w:tc>
          <w:tcPr>
            <w:tcW w:type="dxa" w:w="900"/>
            <w:vAlign w:val="center"/>
          </w:tcPr>
          <w:p>
            <w:r>
              <w:rPr>
                <w:b w:val="false"/>
                <w:bCs w:val="false"/>
                <w:color w:val="000000"/>
                <w:sz w:val="18"/>
                <w:szCs w:val="18"/>
              </w:rPr>
              <w:t xml:space="preserve">SB04</w:t>
            </w:r>
          </w:p>
        </w:tc>
        <w:tc>
          <w:tcPr>
            <w:tcW w:type="dxa" w:w="2600"/>
            <w:vAlign w:val="center"/>
          </w:tcPr>
          <w:p>
            <w:r>
              <w:rPr>
                <w:b w:val="false"/>
                <w:bCs w:val="false"/>
                <w:color w:val="000000"/>
                <w:sz w:val="18"/>
                <w:szCs w:val="18"/>
              </w:rPr>
              <w:t xml:space="preserve">Detail Orientation and Quality Focus</w:t>
            </w:r>
          </w:p>
        </w:tc>
        <w:tc>
          <w:tcPr>
            <w:tcW w:type="dxa" w:w="5526"/>
            <w:vAlign w:val="center"/>
          </w:tcPr>
          <w:p>
            <w:r>
              <w:rPr>
                <w:b w:val="false"/>
                <w:bCs w:val="false"/>
                <w:color w:val="000000"/>
                <w:sz w:val="18"/>
                <w:szCs w:val="18"/>
              </w:rPr>
              <w:t xml:space="preserve">Consistently delivers accurate, complete, high-quality output through attention to detail and standards.</w:t>
            </w:r>
          </w:p>
        </w:tc>
      </w:tr>
      <w:tr>
        <w:tc>
          <w:tcPr>
            <w:tcW w:type="dxa" w:w="900"/>
            <w:vAlign w:val="center"/>
          </w:tcPr>
          <w:p>
            <w:r>
              <w:rPr>
                <w:b w:val="false"/>
                <w:bCs w:val="false"/>
                <w:color w:val="000000"/>
                <w:sz w:val="18"/>
                <w:szCs w:val="18"/>
              </w:rPr>
              <w:t xml:space="preserve">SB05</w:t>
            </w:r>
          </w:p>
        </w:tc>
        <w:tc>
          <w:tcPr>
            <w:tcW w:type="dxa" w:w="2600"/>
            <w:vAlign w:val="center"/>
          </w:tcPr>
          <w:p>
            <w:r>
              <w:rPr>
                <w:b w:val="false"/>
                <w:bCs w:val="false"/>
                <w:color w:val="000000"/>
                <w:sz w:val="18"/>
                <w:szCs w:val="18"/>
              </w:rPr>
              <w:t xml:space="preserve">Learning Agility and Coaching Mindset</w:t>
            </w:r>
          </w:p>
        </w:tc>
        <w:tc>
          <w:tcPr>
            <w:tcW w:type="dxa" w:w="5526"/>
            <w:vAlign w:val="center"/>
          </w:tcPr>
          <w:p>
            <w:r>
              <w:rPr>
                <w:b w:val="false"/>
                <w:bCs w:val="false"/>
                <w:color w:val="000000"/>
                <w:sz w:val="18"/>
                <w:szCs w:val="18"/>
              </w:rPr>
              <w:t xml:space="preserve">Demonstrates curiosity, adapts quickly to change, develops self and others.</w:t>
            </w:r>
          </w:p>
        </w:tc>
      </w:tr>
    </w:tbl>
    <w:p>
      <w:pPr>
        <w:pStyle w:val="Heading2"/>
        <w:spacing w:after="120" w:before="240"/>
      </w:pPr>
      <w:r>
        <w:t xml:space="preserve">A.3 Behaviour scale (Attitude)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shd w:fill="1F2937" w:color="auto" w:val="clear"/>
            <w:vAlign w:val="center"/>
          </w:tcPr>
          <w:p>
            <w:r>
              <w:rPr>
                <w:b/>
                <w:bCs/>
                <w:color w:val="FFFFFF"/>
                <w:sz w:val="18"/>
                <w:szCs w:val="18"/>
              </w:rPr>
              <w:t xml:space="preserve">Level</w:t>
            </w:r>
          </w:p>
        </w:tc>
        <w:tc>
          <w:tcPr>
            <w:tcW w:type="dxa" w:w="2200"/>
            <w:shd w:fill="1F2937" w:color="auto" w:val="clear"/>
            <w:vAlign w:val="center"/>
          </w:tcPr>
          <w:p>
            <w:r>
              <w:rPr>
                <w:b/>
                <w:bCs/>
                <w:color w:val="FFFFFF"/>
                <w:sz w:val="18"/>
                <w:szCs w:val="18"/>
              </w:rPr>
              <w:t xml:space="preserve">Title</w:t>
            </w:r>
          </w:p>
        </w:tc>
        <w:tc>
          <w:tcPr>
            <w:tcW w:type="dxa" w:w="5926"/>
            <w:shd w:fill="1F2937" w:color="auto" w:val="clear"/>
            <w:vAlign w:val="center"/>
          </w:tcPr>
          <w:p>
            <w:r>
              <w:rPr>
                <w:b/>
                <w:bCs/>
                <w:color w:val="FFFFFF"/>
                <w:sz w:val="18"/>
                <w:szCs w:val="18"/>
              </w:rPr>
              <w:t xml:space="preserve">Nature / Consistency / Impact</w:t>
            </w:r>
          </w:p>
        </w:tc>
      </w:tr>
      <w:tr>
        <w:tc>
          <w:tcPr>
            <w:tcW w:type="dxa" w:w="900"/>
            <w:vAlign w:val="center"/>
          </w:tcPr>
          <w:p>
            <w:r>
              <w:rPr>
                <w:b w:val="false"/>
                <w:bCs w:val="false"/>
                <w:color w:val="000000"/>
                <w:sz w:val="18"/>
                <w:szCs w:val="18"/>
              </w:rPr>
              <w:t xml:space="preserve">1</w:t>
            </w:r>
          </w:p>
        </w:tc>
        <w:tc>
          <w:tcPr>
            <w:tcW w:type="dxa" w:w="2200"/>
            <w:vAlign w:val="center"/>
          </w:tcPr>
          <w:p>
            <w:r>
              <w:rPr>
                <w:b w:val="false"/>
                <w:bCs w:val="false"/>
                <w:color w:val="000000"/>
                <w:sz w:val="18"/>
                <w:szCs w:val="18"/>
              </w:rPr>
              <w:t xml:space="preserve">Learning</w:t>
            </w:r>
          </w:p>
        </w:tc>
        <w:tc>
          <w:tcPr>
            <w:tcW w:type="dxa" w:w="5926"/>
            <w:vAlign w:val="center"/>
          </w:tcPr>
          <w:p>
            <w:r>
              <w:rPr>
                <w:b w:val="false"/>
                <w:bCs w:val="false"/>
                <w:color w:val="000000"/>
                <w:sz w:val="18"/>
                <w:szCs w:val="18"/>
              </w:rPr>
              <w:t xml:space="preserve">Follows guidance, inconsistent or supervised, individual/task-level</w:t>
            </w:r>
          </w:p>
        </w:tc>
      </w:tr>
      <w:tr>
        <w:tc>
          <w:tcPr>
            <w:tcW w:type="dxa" w:w="900"/>
            <w:vAlign w:val="center"/>
          </w:tcPr>
          <w:p>
            <w:r>
              <w:rPr>
                <w:b w:val="false"/>
                <w:bCs w:val="false"/>
                <w:color w:val="000000"/>
                <w:sz w:val="18"/>
                <w:szCs w:val="18"/>
              </w:rPr>
              <w:t xml:space="preserve">2</w:t>
            </w:r>
          </w:p>
        </w:tc>
        <w:tc>
          <w:tcPr>
            <w:tcW w:type="dxa" w:w="2200"/>
            <w:vAlign w:val="center"/>
          </w:tcPr>
          <w:p>
            <w:r>
              <w:rPr>
                <w:b w:val="false"/>
                <w:bCs w:val="false"/>
                <w:color w:val="000000"/>
                <w:sz w:val="18"/>
                <w:szCs w:val="18"/>
              </w:rPr>
              <w:t xml:space="preserve">Doing with Support</w:t>
            </w:r>
          </w:p>
        </w:tc>
        <w:tc>
          <w:tcPr>
            <w:tcW w:type="dxa" w:w="5926"/>
            <w:vAlign w:val="center"/>
          </w:tcPr>
          <w:p>
            <w:r>
              <w:rPr>
                <w:b w:val="false"/>
                <w:bCs w:val="false"/>
                <w:color w:val="000000"/>
                <w:sz w:val="18"/>
                <w:szCs w:val="18"/>
              </w:rPr>
              <w:t xml:space="preserve">Applies skills in known situations, consistent in routine tasks, team/workgroup</w:t>
            </w:r>
          </w:p>
        </w:tc>
      </w:tr>
      <w:tr>
        <w:tc>
          <w:tcPr>
            <w:tcW w:type="dxa" w:w="900"/>
            <w:vAlign w:val="center"/>
          </w:tcPr>
          <w:p>
            <w:r>
              <w:rPr>
                <w:b w:val="false"/>
                <w:bCs w:val="false"/>
                <w:color w:val="000000"/>
                <w:sz w:val="18"/>
                <w:szCs w:val="18"/>
              </w:rPr>
              <w:t xml:space="preserve">3</w:t>
            </w:r>
          </w:p>
        </w:tc>
        <w:tc>
          <w:tcPr>
            <w:tcW w:type="dxa" w:w="2200"/>
            <w:vAlign w:val="center"/>
          </w:tcPr>
          <w:p>
            <w:r>
              <w:rPr>
                <w:b w:val="false"/>
                <w:bCs w:val="false"/>
                <w:color w:val="000000"/>
                <w:sz w:val="18"/>
                <w:szCs w:val="18"/>
              </w:rPr>
              <w:t xml:space="preserve">Doing Independently</w:t>
            </w:r>
          </w:p>
        </w:tc>
        <w:tc>
          <w:tcPr>
            <w:tcW w:type="dxa" w:w="5926"/>
            <w:vAlign w:val="center"/>
          </w:tcPr>
          <w:p>
            <w:r>
              <w:rPr>
                <w:b w:val="false"/>
                <w:bCs w:val="false"/>
                <w:color w:val="000000"/>
                <w:sz w:val="18"/>
                <w:szCs w:val="18"/>
              </w:rPr>
              <w:t xml:space="preserve">Demonstrates ownership and initiative, consistent across varied contexts, function/cross-functional</w:t>
            </w:r>
          </w:p>
        </w:tc>
      </w:tr>
      <w:tr>
        <w:tc>
          <w:tcPr>
            <w:tcW w:type="dxa" w:w="900"/>
            <w:vAlign w:val="center"/>
          </w:tcPr>
          <w:p>
            <w:r>
              <w:rPr>
                <w:b w:val="false"/>
                <w:bCs w:val="false"/>
                <w:color w:val="000000"/>
                <w:sz w:val="18"/>
                <w:szCs w:val="18"/>
              </w:rPr>
              <w:t xml:space="preserve">4</w:t>
            </w:r>
          </w:p>
        </w:tc>
        <w:tc>
          <w:tcPr>
            <w:tcW w:type="dxa" w:w="2200"/>
            <w:vAlign w:val="center"/>
          </w:tcPr>
          <w:p>
            <w:r>
              <w:rPr>
                <w:b w:val="false"/>
                <w:bCs w:val="false"/>
                <w:color w:val="000000"/>
                <w:sz w:val="18"/>
                <w:szCs w:val="18"/>
              </w:rPr>
              <w:t xml:space="preserve">Guiding Others</w:t>
            </w:r>
          </w:p>
        </w:tc>
        <w:tc>
          <w:tcPr>
            <w:tcW w:type="dxa" w:w="5926"/>
            <w:vAlign w:val="center"/>
          </w:tcPr>
          <w:p>
            <w:r>
              <w:rPr>
                <w:b w:val="false"/>
                <w:bCs w:val="false"/>
                <w:color w:val="000000"/>
                <w:sz w:val="18"/>
                <w:szCs w:val="18"/>
              </w:rPr>
              <w:t xml:space="preserve">Coaches others, role-models behaviour, embeds into team/org norms, team culture/business-wide</w:t>
            </w:r>
          </w:p>
        </w:tc>
      </w:tr>
    </w:tbl>
    <w:p>
      <w:pPr>
        <w:pStyle w:val="Heading2"/>
        <w:spacing w:after="120" w:before="240"/>
      </w:pPr>
      <w:r>
        <w:t xml:space="preserve">A.4 Functional scale (Skill /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shd w:fill="1F2937" w:color="auto" w:val="clear"/>
            <w:vAlign w:val="center"/>
          </w:tcPr>
          <w:p>
            <w:r>
              <w:rPr>
                <w:b/>
                <w:bCs/>
                <w:color w:val="FFFFFF"/>
                <w:sz w:val="18"/>
                <w:szCs w:val="18"/>
              </w:rPr>
              <w:t xml:space="preserve">Level</w:t>
            </w:r>
          </w:p>
        </w:tc>
        <w:tc>
          <w:tcPr>
            <w:tcW w:type="dxa" w:w="2200"/>
            <w:shd w:fill="1F2937" w:color="auto" w:val="clear"/>
            <w:vAlign w:val="center"/>
          </w:tcPr>
          <w:p>
            <w:r>
              <w:rPr>
                <w:b/>
                <w:bCs/>
                <w:color w:val="FFFFFF"/>
                <w:sz w:val="18"/>
                <w:szCs w:val="18"/>
              </w:rPr>
              <w:t xml:space="preserve">Title</w:t>
            </w:r>
          </w:p>
        </w:tc>
        <w:tc>
          <w:tcPr>
            <w:tcW w:type="dxa" w:w="5926"/>
            <w:shd w:fill="1F2937" w:color="auto" w:val="clear"/>
            <w:vAlign w:val="center"/>
          </w:tcPr>
          <w:p>
            <w:r>
              <w:rPr>
                <w:b/>
                <w:bCs/>
                <w:color w:val="FFFFFF"/>
                <w:sz w:val="18"/>
                <w:szCs w:val="18"/>
              </w:rPr>
              <w:t xml:space="preserve">Nature / Complexity / Impact</w:t>
            </w:r>
          </w:p>
        </w:tc>
      </w:tr>
      <w:tr>
        <w:tc>
          <w:tcPr>
            <w:tcW w:type="dxa" w:w="900"/>
            <w:vAlign w:val="center"/>
          </w:tcPr>
          <w:p>
            <w:r>
              <w:rPr>
                <w:b w:val="false"/>
                <w:bCs w:val="false"/>
                <w:color w:val="000000"/>
                <w:sz w:val="18"/>
                <w:szCs w:val="18"/>
              </w:rPr>
              <w:t xml:space="preserve">1</w:t>
            </w:r>
          </w:p>
        </w:tc>
        <w:tc>
          <w:tcPr>
            <w:tcW w:type="dxa" w:w="2200"/>
            <w:vAlign w:val="center"/>
          </w:tcPr>
          <w:p>
            <w:r>
              <w:rPr>
                <w:b w:val="false"/>
                <w:bCs w:val="false"/>
                <w:color w:val="000000"/>
                <w:sz w:val="18"/>
                <w:szCs w:val="18"/>
              </w:rPr>
              <w:t xml:space="preserve">Foundation</w:t>
            </w:r>
          </w:p>
        </w:tc>
        <w:tc>
          <w:tcPr>
            <w:tcW w:type="dxa" w:w="5926"/>
            <w:vAlign w:val="center"/>
          </w:tcPr>
          <w:p>
            <w:r>
              <w:rPr>
                <w:b w:val="false"/>
                <w:bCs w:val="false"/>
                <w:color w:val="000000"/>
                <w:sz w:val="18"/>
                <w:szCs w:val="18"/>
              </w:rPr>
              <w:t xml:space="preserve">Task/activity, low-to-moderate complexity, individual/limited team</w:t>
            </w:r>
          </w:p>
        </w:tc>
      </w:tr>
      <w:tr>
        <w:tc>
          <w:tcPr>
            <w:tcW w:type="dxa" w:w="900"/>
            <w:vAlign w:val="center"/>
          </w:tcPr>
          <w:p>
            <w:r>
              <w:rPr>
                <w:b w:val="false"/>
                <w:bCs w:val="false"/>
                <w:color w:val="000000"/>
                <w:sz w:val="18"/>
                <w:szCs w:val="18"/>
              </w:rPr>
              <w:t xml:space="preserve">2</w:t>
            </w:r>
          </w:p>
        </w:tc>
        <w:tc>
          <w:tcPr>
            <w:tcW w:type="dxa" w:w="2200"/>
            <w:vAlign w:val="center"/>
          </w:tcPr>
          <w:p>
            <w:r>
              <w:rPr>
                <w:b w:val="false"/>
                <w:bCs w:val="false"/>
                <w:color w:val="000000"/>
                <w:sz w:val="18"/>
                <w:szCs w:val="18"/>
              </w:rPr>
              <w:t xml:space="preserve">Applied</w:t>
            </w:r>
          </w:p>
        </w:tc>
        <w:tc>
          <w:tcPr>
            <w:tcW w:type="dxa" w:w="5926"/>
            <w:vAlign w:val="center"/>
          </w:tcPr>
          <w:p>
            <w:r>
              <w:rPr>
                <w:b w:val="false"/>
                <w:bCs w:val="false"/>
                <w:color w:val="000000"/>
                <w:sz w:val="18"/>
                <w:szCs w:val="18"/>
              </w:rPr>
              <w:t xml:space="preserve">Process/work stream, moderate-to-high complexity, team/work unit</w:t>
            </w:r>
          </w:p>
        </w:tc>
      </w:tr>
      <w:tr>
        <w:tc>
          <w:tcPr>
            <w:tcW w:type="dxa" w:w="900"/>
            <w:vAlign w:val="center"/>
          </w:tcPr>
          <w:p>
            <w:r>
              <w:rPr>
                <w:b w:val="false"/>
                <w:bCs w:val="false"/>
                <w:color w:val="000000"/>
                <w:sz w:val="18"/>
                <w:szCs w:val="18"/>
              </w:rPr>
              <w:t xml:space="preserve">3</w:t>
            </w:r>
          </w:p>
        </w:tc>
        <w:tc>
          <w:tcPr>
            <w:tcW w:type="dxa" w:w="2200"/>
            <w:vAlign w:val="center"/>
          </w:tcPr>
          <w:p>
            <w:r>
              <w:rPr>
                <w:b w:val="false"/>
                <w:bCs w:val="false"/>
                <w:color w:val="000000"/>
                <w:sz w:val="18"/>
                <w:szCs w:val="18"/>
              </w:rPr>
              <w:t xml:space="preserve">Proficient</w:t>
            </w:r>
          </w:p>
        </w:tc>
        <w:tc>
          <w:tcPr>
            <w:tcW w:type="dxa" w:w="5926"/>
            <w:vAlign w:val="center"/>
          </w:tcPr>
          <w:p>
            <w:r>
              <w:rPr>
                <w:b w:val="false"/>
                <w:bCs w:val="false"/>
                <w:color w:val="000000"/>
                <w:sz w:val="18"/>
                <w:szCs w:val="18"/>
              </w:rPr>
              <w:t xml:space="preserve">Function/domain, high-to-very-high complexity, function/department/BU</w:t>
            </w:r>
          </w:p>
        </w:tc>
      </w:tr>
      <w:tr>
        <w:tc>
          <w:tcPr>
            <w:tcW w:type="dxa" w:w="900"/>
            <w:vAlign w:val="center"/>
          </w:tcPr>
          <w:p>
            <w:r>
              <w:rPr>
                <w:b w:val="false"/>
                <w:bCs w:val="false"/>
                <w:color w:val="000000"/>
                <w:sz w:val="18"/>
                <w:szCs w:val="18"/>
              </w:rPr>
              <w:t xml:space="preserve">4</w:t>
            </w:r>
          </w:p>
        </w:tc>
        <w:tc>
          <w:tcPr>
            <w:tcW w:type="dxa" w:w="2200"/>
            <w:vAlign w:val="center"/>
          </w:tcPr>
          <w:p>
            <w:r>
              <w:rPr>
                <w:b w:val="false"/>
                <w:bCs w:val="false"/>
                <w:color w:val="000000"/>
                <w:sz w:val="18"/>
                <w:szCs w:val="18"/>
              </w:rPr>
              <w:t xml:space="preserve">Expert / Strategic</w:t>
            </w:r>
          </w:p>
        </w:tc>
        <w:tc>
          <w:tcPr>
            <w:tcW w:type="dxa" w:w="5926"/>
            <w:vAlign w:val="center"/>
          </w:tcPr>
          <w:p>
            <w:r>
              <w:rPr>
                <w:b w:val="false"/>
                <w:bCs w:val="false"/>
                <w:color w:val="000000"/>
                <w:sz w:val="18"/>
                <w:szCs w:val="18"/>
              </w:rPr>
              <w:t xml:space="preserve">Domain/organisation, very high complexity, organisation/cross-functional</w:t>
            </w:r>
          </w:p>
        </w:tc>
      </w:tr>
    </w:tbl>
    <w:p>
      <w:pPr>
        <w:spacing w:after="200"/>
      </w:pPr>
    </w:p>
    <w:p>
      <w:pPr>
        <w:spacing w:after="140"/>
      </w:pPr>
      <w:r>
        <w:rPr>
          <w:b w:val="false"/>
          <w:bCs w:val="false"/>
          <w:i/>
          <w:iCs/>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2026-08-11T11:27:41.283Z</dcterms:created>
  <dcterms:modified xsi:type="dcterms:W3CDTF">2026-08-11T11:27:41.296Z</dcterms:modified>
</cp:coreProperties>
</file>

<file path=docProps/custom.xml><?xml version="1.0" encoding="utf-8"?>
<Properties xmlns="http://schemas.openxmlformats.org/officeDocument/2006/custom-properties" xmlns:vt="http://schemas.openxmlformats.org/officeDocument/2006/docPropsVTypes"/>
</file>