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Technical Design Document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KDDL Dials Talent Transformation Platform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Companion to: KDDL-Talent-Platform-PRD.docx and kddl-talent-platform-schema.sql | Confidential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Audience: engineering / AI coding agent (Kiro, Codex, Claude Code) build input</w:t>
      </w:r>
    </w:p>
    <w:p>
      <w:pPr>
        <w:spacing w:after="200"/>
      </w:pPr>
    </w:p>
    <w:p>
      <w:pPr>
        <w:pStyle w:val="Heading1"/>
        <w:spacing w:after="160" w:before="320"/>
      </w:pPr>
      <w:r>
        <w:t xml:space="preserve">1. Tech Stack (assumed)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No stack has been confirmed for this project yet. Following the pattern already adopted for the CXO Compass build, this document assumes: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Python, FastAPI, Clean Architecture (Domain / Application / Infrastructure / Presentation layers, strict one-directional imports)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Database: MySQL 8.x — see kddl-talent-platform-schema.sql for the full DDL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React + Tailwind, ported from a design-tool export (Lovable/Figma) rather than generated fresh, consistent with the CXO Compass approach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AI/LLM: Anthropic API for the client-visible AI-refine action and the PGC-hidden KS-cluster generation console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Deployment: containerised (Docker), single environment initially (KDDL as tenant 1), designed for multi-tenant reuse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Flag and replace this section first if any of these choices don't match the intended stack — the rest of the document is written generically enough to still apply, but directory structure and code samples assume Python/FastAPI.</w:t>
      </w:r>
    </w:p>
    <w:p>
      <w:pPr>
        <w:pStyle w:val="Heading1"/>
        <w:spacing w:after="160" w:before="320"/>
      </w:pPr>
      <w:r>
        <w:t xml:space="preserve">2. System Architecture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Clean Architecture, four layers, imports only point inward:</w:t>
      </w:r>
    </w:p>
    <w:p>
      <w:pPr>
        <w:shd w:fill="F3F4F6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Presentation  (FastAPI routers, request/response schemas)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Application   (use-cases / services: e.g. RunConsolidation, ComputePriorityScore)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Domain        (entities, value objects, business rules — no framework imports)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^</w:t>
      </w:r>
      <w:r>
        <w:rPr>
          <w:rFonts w:ascii="Consolas" w:cs="Consolas" w:eastAsia="Consolas" w:hAnsi="Consolas"/>
          <w:sz w:val="18"/>
          <w:szCs w:val="18"/>
        </w:rPr>
        <w:br/>
        <w:t xml:space="preserve">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Infrastructure (MySQL repositories, AI provider clients, file storage)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The Domain layer owns the rules that must never drift: Gap = MAL − DL, the Priority Score weighting (35/30/20/15), the critical-role ≥ 2-of-5 criteria check, and the succession readiness-window calculation. These are unit-testable in isolation from the database and the API.</w:t>
      </w:r>
    </w:p>
    <w:p>
      <w:pPr>
        <w:pStyle w:val="Heading1"/>
        <w:spacing w:after="160" w:before="320"/>
      </w:pPr>
      <w:r>
        <w:t xml:space="preserve">3. Backend Directory Structure</w:t>
      </w:r>
    </w:p>
    <w:p>
      <w:pPr>
        <w:shd w:fill="F3F4F6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app/</w:t>
      </w:r>
      <w:r>
        <w:rPr>
          <w:rFonts w:ascii="Consolas" w:cs="Consolas" w:eastAsia="Consolas" w:hAnsi="Consolas"/>
          <w:sz w:val="18"/>
          <w:szCs w:val="18"/>
        </w:rPr>
        <w:br/>
        <w:t xml:space="preserve">  domain/</w:t>
      </w:r>
      <w:r>
        <w:rPr>
          <w:rFonts w:ascii="Consolas" w:cs="Consolas" w:eastAsia="Consolas" w:hAnsi="Consolas"/>
          <w:sz w:val="18"/>
          <w:szCs w:val="18"/>
        </w:rPr>
        <w:br/>
        <w:t xml:space="preserve">    entities/          # Employee, Role, AssessmentForm, PriorityScoreRecord, ...</w:t>
      </w:r>
      <w:r>
        <w:rPr>
          <w:rFonts w:ascii="Consolas" w:cs="Consolas" w:eastAsia="Consolas" w:hAnsi="Consolas"/>
          <w:sz w:val="18"/>
          <w:szCs w:val="18"/>
        </w:rPr>
        <w:br/>
        <w:t xml:space="preserve">    value_objects/      # Gap, DesiredLevel, ReadinessLevel</w:t>
      </w:r>
      <w:r>
        <w:rPr>
          <w:rFonts w:ascii="Consolas" w:cs="Consolas" w:eastAsia="Consolas" w:hAnsi="Consolas"/>
          <w:sz w:val="18"/>
          <w:szCs w:val="18"/>
        </w:rPr>
        <w:br/>
        <w:t xml:space="preserve">    rules/              # gap_calculation.py, priority_scoring.py, critical_role_criteria.py,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# succession_readiness.py, risk_situation.py</w:t>
      </w:r>
      <w:r>
        <w:rPr>
          <w:rFonts w:ascii="Consolas" w:cs="Consolas" w:eastAsia="Consolas" w:hAnsi="Consolas"/>
          <w:sz w:val="18"/>
          <w:szCs w:val="18"/>
        </w:rPr>
        <w:br/>
        <w:t xml:space="preserve">  application/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use_cases/</w:t>
      </w:r>
      <w:r>
        <w:rPr>
          <w:rFonts w:ascii="Consolas" w:cs="Consolas" w:eastAsia="Consolas" w:hAnsi="Consolas"/>
          <w:sz w:val="18"/>
          <w:szCs w:val="18"/>
        </w:rPr>
        <w:br/>
        <w:t xml:space="preserve">      onboarding/       # create_tenant, upload_employee_data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roles/            # create_role_description, ai_refine_role_description, audit_overlaps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ask_framework/     # generate_ks_clusters (PGC-hidden), configure_desired_levels,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# generate_ask_dictionary_report, approve_framework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assessment/       # start_cycle, submit_self_assessment, submit_manager_assessment,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# escalate_to_skip_manager, sign_form, consolidate_cycle</w:t>
      </w:r>
      <w:r>
        <w:rPr>
          <w:rFonts w:ascii="Consolas" w:cs="Consolas" w:eastAsia="Consolas" w:hAnsi="Consolas"/>
          <w:sz w:val="18"/>
          <w:szCs w:val="18"/>
        </w:rPr>
        <w:br/>
        <w:t xml:space="preserve">      insights/         # compute_priority_scores, evaluate_critical_role_candidates,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# compute_succession_readiness, build_dashboard_view</w:t>
      </w:r>
      <w:r>
        <w:rPr>
          <w:rFonts w:ascii="Consolas" w:cs="Consolas" w:eastAsia="Consolas" w:hAnsi="Consolas"/>
          <w:sz w:val="18"/>
          <w:szCs w:val="18"/>
        </w:rPr>
        <w:br/>
        <w:t xml:space="preserve">  infrastructure/</w:t>
      </w:r>
      <w:r>
        <w:rPr>
          <w:rFonts w:ascii="Consolas" w:cs="Consolas" w:eastAsia="Consolas" w:hAnsi="Consolas"/>
          <w:sz w:val="18"/>
          <w:szCs w:val="18"/>
        </w:rPr>
        <w:br/>
        <w:t xml:space="preserve">    db/                 # SQLAlchemy models mirroring schema.sql, repositories</w:t>
      </w:r>
      <w:r>
        <w:rPr>
          <w:rFonts w:ascii="Consolas" w:cs="Consolas" w:eastAsia="Consolas" w:hAnsi="Consolas"/>
          <w:sz w:val="18"/>
          <w:szCs w:val="18"/>
        </w:rPr>
        <w:br/>
        <w:t xml:space="preserve">    ai/                 # AnthropicClient, PromptLibrary (versioned, admin-only)</w:t>
      </w:r>
      <w:r>
        <w:rPr>
          <w:rFonts w:ascii="Consolas" w:cs="Consolas" w:eastAsia="Consolas" w:hAnsi="Consolas"/>
          <w:sz w:val="18"/>
          <w:szCs w:val="18"/>
        </w:rPr>
        <w:br/>
        <w:t xml:space="preserve">    storage/            # CSV template generation/parsing, report export (PDF)</w:t>
      </w:r>
      <w:r>
        <w:rPr>
          <w:rFonts w:ascii="Consolas" w:cs="Consolas" w:eastAsia="Consolas" w:hAnsi="Consolas"/>
          <w:sz w:val="18"/>
          <w:szCs w:val="18"/>
        </w:rPr>
        <w:br/>
        <w:t xml:space="preserve">  presentation/</w:t>
      </w:r>
      <w:r>
        <w:rPr>
          <w:rFonts w:ascii="Consolas" w:cs="Consolas" w:eastAsia="Consolas" w:hAnsi="Consolas"/>
          <w:sz w:val="18"/>
          <w:szCs w:val="18"/>
        </w:rPr>
        <w:br/>
        <w:t xml:space="preserve">    api/v1/             # routers per module (see Section 4)</w:t>
      </w:r>
      <w:r>
        <w:rPr>
          <w:rFonts w:ascii="Consolas" w:cs="Consolas" w:eastAsia="Consolas" w:hAnsi="Consolas"/>
          <w:sz w:val="18"/>
          <w:szCs w:val="18"/>
        </w:rPr>
        <w:br/>
        <w:t xml:space="preserve">    schemas/            # Pydantic request/response models</w:t>
      </w:r>
      <w:r>
        <w:rPr>
          <w:rFonts w:ascii="Consolas" w:cs="Consolas" w:eastAsia="Consolas" w:hAnsi="Consolas"/>
          <w:sz w:val="18"/>
          <w:szCs w:val="18"/>
        </w:rPr>
        <w:br/>
        <w:t xml:space="preserve">    dependencies/       # auth, RBAC guards, tenant-scoping middleware</w:t>
      </w:r>
    </w:p>
    <w:p>
      <w:pPr>
        <w:pStyle w:val="Heading1"/>
        <w:spacing w:after="160" w:before="320"/>
      </w:pPr>
      <w:r>
        <w:t xml:space="preserve">4. API Endpoints by Module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Grouped by the PRD's module lettering (A–P) for direct traceability.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226"/>
      </w:tblGrid>
      <w:tr>
        <w:trPr>
          <w:tblHeader/>
        </w:trPr>
        <w:tc>
          <w:tcPr>
            <w:tcW w:type="dxa" w:w="1600"/>
            <w:shd w:fill="1F2937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200"/>
            <w:shd w:fill="1F2937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Endpoint (illustrative)</w:t>
            </w:r>
          </w:p>
        </w:tc>
        <w:tc>
          <w:tcPr>
            <w:tcW w:type="dxa" w:w="3226"/>
            <w:shd w:fill="1F2937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— Tenant &amp; Access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/tenants, POST /tenants/{id}/users</w:t>
            </w:r>
          </w:p>
        </w:tc>
        <w:tc>
          <w:tcPr>
            <w:tcW w:type="dxa" w:w="32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PGC_ADMIN only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 — Employee/Role Data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/tenants/{id}/employees/upload (CSV)
GET /tenants/{id}/employees</w:t>
            </w:r>
          </w:p>
        </w:tc>
        <w:tc>
          <w:tcPr>
            <w:tcW w:type="dxa" w:w="32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Validates duplicate codes, flags name collisions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 — Org &amp; Manpower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/tenants/{id}/org-structure
GET /tenants/{id}/manpower-pyramid
GET /tenants/{id}/retirement-register</w:t>
            </w:r>
          </w:p>
        </w:tc>
        <w:tc>
          <w:tcPr>
            <w:tcW w:type="dxa" w:w="32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System-computed, read-only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 — Role Description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/roles/{id}/description
POST /roles/{id}/description/ai-refine</w:t>
            </w:r>
          </w:p>
        </w:tc>
        <w:tc>
          <w:tcPr>
            <w:tcW w:type="dxa" w:w="32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ai-refine returns a suggestion, does not auto-save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 — Overlap Audit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/tenants/{id}/roles/overlap-candidates
POST /roles/{id}/merge</w:t>
            </w:r>
          </w:p>
        </w:tc>
        <w:tc>
          <w:tcPr>
            <w:tcW w:type="dxa" w:w="32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PGC-facing only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 — Success Behaviours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/tenants/{id}/success-behaviours</w:t>
            </w:r>
          </w:p>
        </w:tc>
        <w:tc>
          <w:tcPr>
            <w:tcW w:type="dxa" w:w="32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PGC_ADMIN data entry, fixed schema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 — KS Cluster Generation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/admin/ks-generation/run
POST /admin/ks-generation/{id}/publish</w:t>
            </w:r>
          </w:p>
        </w:tc>
        <w:tc>
          <w:tcPr>
            <w:tcW w:type="dxa" w:w="32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PGC_ADMIN only; hard 403 for every other role, not just hidden in UI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 — ASK Matrix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PUT /tenants/{id}/desired-level-matrix</w:t>
            </w:r>
          </w:p>
        </w:tc>
        <w:tc>
          <w:tcPr>
            <w:tcW w:type="dxa" w:w="32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PGC_ADMIN edits; HR_SPOC/HOD view only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 — ASK Dictionary Report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/tenants/{id}/ask-dictionary/report</w:t>
            </w:r>
          </w:p>
        </w:tc>
        <w:tc>
          <w:tcPr>
            <w:tcW w:type="dxa" w:w="32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Regenerated from live data, PDF export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 — Approval Workflow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/ask-versions/{id}/approve</w:t>
            </w:r>
          </w:p>
        </w:tc>
        <w:tc>
          <w:tcPr>
            <w:tcW w:type="dxa" w:w="32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Locks the version; subsequent edits create version N+1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 — Assessment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/forms/{id}/self-assessment
POST /forms/{id}/manager-assessment
POST /forms/{id}/escalate
POST /forms/{id}/sign</w:t>
            </w:r>
          </w:p>
        </w:tc>
        <w:tc>
          <w:tcPr>
            <w:tcW w:type="dxa" w:w="32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State machine enforced server-side; see Section 5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 — Consolidation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/cycles/{id}/consolidate</w:t>
            </w:r>
          </w:p>
        </w:tc>
        <w:tc>
          <w:tcPr>
            <w:tcW w:type="dxa" w:w="32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System job; writes assessment_line_items.gap via generated column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 — Priority Scoring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/cycles/{id}/compute-priority-scores
GET /cycles/{id}/priority-register</w:t>
            </w:r>
          </w:p>
        </w:tc>
        <w:tc>
          <w:tcPr>
            <w:tcW w:type="dxa" w:w="32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PGC_ADMIN triggers; band threshold is a config value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 — Critical Roles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/roles/{id}/critical-role-evaluation
POST /critical-roles/{id}/validate</w:t>
            </w:r>
          </w:p>
        </w:tc>
        <w:tc>
          <w:tcPr>
            <w:tcW w:type="dxa" w:w="32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Auto-flags ≥2 criteria as candidate; Joint validation required to confirm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 — Succession Slate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/critical-roles/{id}/succession-candidates
PUT /tenants/{id}/assumptions-config</w:t>
            </w:r>
          </w:p>
        </w:tc>
        <w:tc>
          <w:tcPr>
            <w:tcW w:type="dxa" w:w="32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Readiness dates recompute on assumptions_config change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 — Reports &amp; Dashboards</w:t>
            </w:r>
          </w:p>
        </w:tc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GET /dashboards/chairman
GET /dashboards/hr-head
GET /dashboards/function/{id}</w:t>
            </w:r>
          </w:p>
        </w:tc>
        <w:tc>
          <w:tcPr>
            <w:tcW w:type="dxa" w:w="32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 models over the same live tables, no separate report store</w:t>
            </w:r>
          </w:p>
        </w:tc>
      </w:tr>
    </w:tbl>
    <w:p>
      <w:pPr>
        <w:pStyle w:val="Heading1"/>
        <w:spacing w:after="160" w:before="320"/>
      </w:pPr>
      <w:r>
        <w:t xml:space="preserve">5. Assessment State Machine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Enforced server-side in the Application layer (application/use_cases/assessment/), not left to the frontend:</w:t>
      </w:r>
    </w:p>
    <w:p>
      <w:pPr>
        <w:shd w:fill="F3F4F6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NOT_STARTED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SELF_SUBMITTED            (employee submits self-assessment)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MANAGER_SUBMITTED         (manager submits independent rating)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RECONCILIATION_IN_PROGRESS (structured conversation, both present)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ESCALATED_TO_SKIP_MANAGER  (conditional: unresolved disagreement)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AGREED_SIGNED             (all applicable signatures captured)</w:t>
      </w:r>
      <w:r>
        <w:rPr>
          <w:rFonts w:ascii="Consolas" w:cs="Consolas" w:eastAsia="Consolas" w:hAnsi="Consolas"/>
          <w:sz w:val="18"/>
          <w:szCs w:val="18"/>
        </w:rPr>
        <w:br/>
        <w:t xml:space="preserve">   -&gt; SUBMITTED_TO_HR           (terminal state for the cycle)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transition to AGREED_SIGNED requires employee_signed_at and manager_signed_at to be non-null, plus skip_manager_signed_at if the form passed through escalation. head_hr_signed_at is captured at SUBMITTED_TO_HR. Any form not reaching AGREED_SIGNED by the cycle's close date generates an outstanding_assessment_flags row (Module K).</w:t>
      </w:r>
    </w:p>
    <w:p>
      <w:pPr>
        <w:pStyle w:val="Heading1"/>
        <w:spacing w:after="160" w:before="320"/>
      </w:pPr>
      <w:r>
        <w:t xml:space="preserve">6. Multi-Tenancy &amp; Access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business table carries tenant_id (see schema.sql). All repository queries must be tenant-scoped by construction — inject tenant_id from the authenticated session into the repository layer, never accept it as a client-supplied parameter.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G (KS-cluster generation) and its prompt library must be unreachable by any role other than PGC_ADMIN at the router/dependency layer (a 403 before the handler runs), not merely absent from the frontend navigation — this is the platform's core IP-protection boundary, called out explicitly in the PRD.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RBAC guard checks role against the endpoint's declared required-role(s) via a FastAPI dependency, consistent with the Roles &amp; Permissions matrix in the PRD Section 10.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HR_SPOC accounts are additionally scoped to division_scope_id where the client wants Dials 1 and Dials 2 data kept separate operationally, even though they share a tenant.</w:t>
      </w:r>
    </w:p>
    <w:p>
      <w:pPr>
        <w:pStyle w:val="Heading1"/>
        <w:spacing w:after="160" w:before="320"/>
      </w:pPr>
      <w:r>
        <w:t xml:space="preserve">7. Business Rule Implementation Notes</w:t>
      </w:r>
    </w:p>
    <w:p>
      <w:pPr>
        <w:pStyle w:val="Heading2"/>
        <w:spacing w:after="120" w:before="240"/>
      </w:pPr>
      <w:r>
        <w:t xml:space="preserve">7.1 Gap calculation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Gap = Manager Assessment Level (MAL) minus Desired Level (DL). Implemented as a MySQL generated column (assessment_line_items.gap) so it can never be computed inconsistently between the API and any direct query/report. The source dictionary's narrative text states this the other way in places; the working data and this schema use MAL − DL, and that is the version to build against.</w:t>
      </w:r>
    </w:p>
    <w:p>
      <w:pPr>
        <w:pStyle w:val="Heading2"/>
        <w:spacing w:after="120" w:before="240"/>
      </w:pPr>
      <w:r>
        <w:t xml:space="preserve">7.2 Priority score bands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total_score is a generated column (0–100). The P1/P2 band cut-off is not fixed in the source material — implement it as a per-tenant configurable threshold (default: unconfirmed, placeholder 70) rather than a hard-coded constant, and surface it in the PGC_ADMIN settings screen. Flagged in the PRD as an open question requiring confirmation.</w:t>
      </w:r>
    </w:p>
    <w:p>
      <w:pPr>
        <w:pStyle w:val="Heading2"/>
        <w:spacing w:after="120" w:before="240"/>
      </w:pPr>
      <w:r>
        <w:t xml:space="preserve">7.3 Critical role criteria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critical_roles.criteria_met_count is a generated column summing five boolean criteria. ≥2 auto-sets status = CANDIDATE; a human PGC/leadership action is required to move status to VALIDATED (Module N's “Joint validation” requirement) — do not auto-validate even at 5-of-5.</w:t>
      </w:r>
    </w:p>
    <w:p>
      <w:pPr>
        <w:pStyle w:val="Heading2"/>
        <w:spacing w:after="120" w:before="240"/>
      </w:pPr>
      <w:r>
        <w:t xml:space="preserve">7.4 Risk Situation classification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 2×2 of incumbent-gap-status × team-gap-status. “Adequate” needs a defined threshold (e.g. zero negative gaps, or negative-gap count below N) that is not specified in the source material — build this as a configurable rule in the Domain layer (rules/risk_situation.py) so the threshold can be tuned without a schema change.</w:t>
      </w:r>
    </w:p>
    <w:p>
      <w:pPr>
        <w:pStyle w:val="Heading2"/>
        <w:spacing w:after="120" w:before="240"/>
      </w:pPr>
      <w:r>
        <w:t xml:space="preserve">7.5 Succession readiness engine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Readiness windows (Emergency &lt;6mo, One Move 1–3yr, Two Moves 3–5yr, Three Moves 6+yr) are computed from assumptions_config (months_per_move, min/max rotation, gaps_closed_per_move, behaviours_per_move) applied against plan_start_date and the candidate's current gap count from the latest assessment cycle. Changing any assumptions_config value must trigger a recompute of every succession_candidates.estimated_ready_date for that tenant, not a silent staleness.</w:t>
      </w:r>
    </w:p>
    <w:p>
      <w:pPr>
        <w:pStyle w:val="Heading1"/>
        <w:spacing w:after="160" w:before="320"/>
      </w:pPr>
      <w:r>
        <w:t xml:space="preserve">8. Seed Data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kddl-talent-platform-schema.sql seeds, under tenant_id = 1: the 16 grade bands (Workmen S1–S3 through Apex A1–A3), the two four-level proficiency scales (Behaviour and Functional), and the five Success Behaviours (SB01–SB05) with their definitions. Functional skills, roles, employees and the desired-level matrix are tenant-specific and must be loaded through the actual Module B (data upload) and Module G (AI-assisted KS generation) workflows, not seeded — seeding real KDDL data would bypass the validation the platform exists to enforce.</w:t>
      </w:r>
    </w:p>
    <w:p>
      <w:pPr>
        <w:pStyle w:val="Heading1"/>
        <w:spacing w:after="160" w:before="320"/>
      </w:pPr>
      <w:r>
        <w:t xml:space="preserve">9. External Integrations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126"/>
      </w:tblGrid>
      <w:tr>
        <w:trPr>
          <w:tblHeader/>
        </w:trPr>
        <w:tc>
          <w:tcPr>
            <w:tcW w:type="dxa" w:w="2600"/>
            <w:shd w:fill="1F2937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3300"/>
            <w:shd w:fill="1F2937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Used by</w:t>
            </w:r>
          </w:p>
        </w:tc>
        <w:tc>
          <w:tcPr>
            <w:tcW w:type="dxa" w:w="3126"/>
            <w:shd w:fill="1F2937" w:color="auto" w:val="clear"/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Anthropic API (or equivalent LLM)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Module D (AI refine), Module G (KS-cluster generation), Module E (overlap similarity)</w:t>
            </w:r>
          </w:p>
        </w:tc>
        <w:tc>
          <w:tcPr>
            <w:tcW w:type="dxa" w:w="31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Module G calls must be logged to ai_generation_log with prompt_version for auditability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CSV import/export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Module B (employee upload), Module I (dictionary export), Module M (priority register export)</w:t>
            </w:r>
          </w:p>
        </w:tc>
        <w:tc>
          <w:tcPr>
            <w:tcW w:type="dxa" w:w="31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Template-driven, validated server-side before commit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 export</w:t>
            </w:r>
          </w:p>
        </w:tc>
        <w:tc>
          <w:tcPr>
            <w:tcW w:type="dxa" w:w="3300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Module I (ASK dictionary report), Module P (board-ready dashboard export)</w:t>
            </w:r>
          </w:p>
        </w:tc>
        <w:tc>
          <w:tcPr>
            <w:tcW w:type="dxa" w:w="3126"/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Server-rendered from live data</w:t>
            </w:r>
          </w:p>
        </w:tc>
      </w:tr>
    </w:tbl>
    <w:p>
      <w:pPr>
        <w:pStyle w:val="Heading1"/>
        <w:spacing w:after="160" w:before="320"/>
      </w:pPr>
      <w:r>
        <w:t xml:space="preserve">10. Environment Variables</w:t>
      </w:r>
    </w:p>
    <w:p>
      <w:pPr>
        <w:shd w:fill="F3F4F6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DATABASE_URL=mysql+pymysql://user:pass@host:3306/kddl_platform</w:t>
      </w:r>
      <w:r>
        <w:rPr>
          <w:rFonts w:ascii="Consolas" w:cs="Consolas" w:eastAsia="Consolas" w:hAnsi="Consolas"/>
          <w:sz w:val="18"/>
          <w:szCs w:val="18"/>
        </w:rPr>
        <w:br/>
        <w:t xml:space="preserve">JWT_SECRET=&lt;...&gt;</w:t>
      </w:r>
      <w:r>
        <w:rPr>
          <w:rFonts w:ascii="Consolas" w:cs="Consolas" w:eastAsia="Consolas" w:hAnsi="Consolas"/>
          <w:sz w:val="18"/>
          <w:szCs w:val="18"/>
        </w:rPr>
        <w:br/>
        <w:t xml:space="preserve">JWT_EXPIRY_MINUTES=60</w:t>
      </w:r>
      <w:r>
        <w:rPr>
          <w:rFonts w:ascii="Consolas" w:cs="Consolas" w:eastAsia="Consolas" w:hAnsi="Consolas"/>
          <w:sz w:val="18"/>
          <w:szCs w:val="18"/>
        </w:rPr>
        <w:br/>
        <w:t xml:space="preserve">ANTHROPIC_API_KEY=&lt;...&gt;</w:t>
      </w:r>
      <w:r>
        <w:rPr>
          <w:rFonts w:ascii="Consolas" w:cs="Consolas" w:eastAsia="Consolas" w:hAnsi="Consolas"/>
          <w:sz w:val="18"/>
          <w:szCs w:val="18"/>
        </w:rPr>
        <w:br/>
        <w:t xml:space="preserve">AI_KS_GENERATION_PROMPT_VERSION=v1</w:t>
      </w:r>
      <w:r>
        <w:rPr>
          <w:rFonts w:ascii="Consolas" w:cs="Consolas" w:eastAsia="Consolas" w:hAnsi="Consolas"/>
          <w:sz w:val="18"/>
          <w:szCs w:val="18"/>
        </w:rPr>
        <w:br/>
        <w:t xml:space="preserve">STORAGE_BUCKET=&lt;...&gt;</w:t>
      </w:r>
      <w:r>
        <w:rPr>
          <w:rFonts w:ascii="Consolas" w:cs="Consolas" w:eastAsia="Consolas" w:hAnsi="Consolas"/>
          <w:sz w:val="18"/>
          <w:szCs w:val="18"/>
        </w:rPr>
        <w:br/>
        <w:t xml:space="preserve">ENV=production|staging|development</w:t>
      </w:r>
      <w:r>
        <w:rPr>
          <w:rFonts w:ascii="Consolas" w:cs="Consolas" w:eastAsia="Consolas" w:hAnsi="Consolas"/>
          <w:sz w:val="18"/>
          <w:szCs w:val="18"/>
        </w:rPr>
        <w:br/>
        <w:t xml:space="preserve">DEFAULT_PRIORITY_BAND_THRESHOLD=70   # placeholder, confirm with PGC</w:t>
      </w:r>
    </w:p>
    <w:p>
      <w:pPr>
        <w:pStyle w:val="Heading1"/>
        <w:spacing w:after="160" w:before="320"/>
      </w:pPr>
      <w:r>
        <w:t xml:space="preserve">11. Deployment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Containerised backend (FastAPI + Uvicorn/Gunicorn) behind a reverse proxy; MySQL managed instance or container with automated backups (data includes signed assessment records — treat as compliance-relevant).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environment for KDDL as tenant 1 at launch; schema and access-control already support onboarding a second PGC client tenant without a schema change.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 runs the Domain-layer rule tests (Section 7) on every change, since those five calculations are the ones a regression would be hardest to notice downstream.</w:t>
      </w:r>
    </w:p>
    <w:p>
      <w:pPr>
        <w:pStyle w:val="Heading1"/>
        <w:spacing w:after="160" w:before="320"/>
      </w:pPr>
      <w:r>
        <w:t xml:space="preserve">12. Anticipated Integration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Priority-band and risk-situation thresholds are placeholders until PGC confirms exact cut-points (Section 7.2, 7.4) — building the UI to expose these as admin-configurable, rather than hard-coding a guess, avoids a rebuild once confirmed.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Module G's prompt-based KS-cluster generation quality depends on role-description completeness from Module D — a role with a thin description will produce a weak draft; the PGC review step (mandatory before publish) is the safety net, not generation quality itself.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migration of the existing KDDL spreadsheets (ASK dictionary, Phase 2 gap file, Training Priority Register, succession slate) into this schema is a one-time ETL effort not yet scoped — recommend a dedicated migration script once the schema is confirmed, keyed by employee_code throughout to avoid the name-collision issue seen in the manual process.</w:t>
      </w:r>
    </w:p>
    <w:p>
      <w:pPr>
        <w:spacing w:after="200"/>
      </w:pPr>
    </w:p>
    <w:p>
      <w:pPr>
        <w:spacing w:after="140"/>
      </w:pPr>
      <w:r>
        <w:rPr>
          <w:b w:val="false"/>
          <w:bCs w:val="false"/>
          <w:i/>
          <w:iCs/>
        </w:rPr>
        <w:t xml:space="preserve">End of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2026-08-11T11:50:54.018Z</dcterms:created>
  <dcterms:modified xsi:type="dcterms:W3CDTF">2026-08-11T11:50:54.033Z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