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Human review therefore served both as case-level adjudication and as pipeline-level quality assurance.</w:t>
      </w:r>
    </w:p>
    <w:p>
      <w:pPr>
        <w:pStyle w:val="BodyText"/>
      </w:pPr>
      <w:r>
        <w:t xml:space="preserve">For ongoing reviewer-consistency assessment, independently assigned human screening decisions could be analysed at explicit milestones. A saved</w:t>
      </w:r>
      <w:r>
        <w:t xml:space="preserve"> </w:t>
      </w:r>
      <w:r>
        <w:rPr>
          <w:bCs/>
          <w:b/>
        </w:rPr>
        <w:t xml:space="preserve">Partial</w:t>
      </w:r>
      <w:r>
        <w:t xml:space="preserve"> </w:t>
      </w:r>
      <w:r>
        <w:t xml:space="preserve">check contained only jointly completed records not represented in an earlier saved milestone for the same reviewer set, whereas a</w:t>
      </w:r>
      <w:r>
        <w:t xml:space="preserve"> </w:t>
      </w:r>
      <w:r>
        <w:rPr>
          <w:bCs/>
          <w:b/>
        </w:rPr>
        <w:t xml:space="preserve">Full</w:t>
      </w:r>
      <w:r>
        <w:t xml:space="preserve"> </w:t>
      </w:r>
      <w:r>
        <w:t xml:space="preserve">check represented the complete jointly assigned set once all selected reviewers had finished it. Saved checks retained exact record membership and decision-pattern counts. Cumulative Cohen’s kappa for two reviewers, or Fleiss’ kappa for three or more reviewers, was therefore recalculated from the underlying saved decision patterns rather than by averaging kappa statistics. Where a saved Full check contained earlier Partial checks, the Full check superseded those contained Partial rows in the cumulative calculation while the individual milestone rows remained available for assessing change over time. Saved milestones could be deleted only through an explicit administrator confirmation, without altering the underlying screening decisions.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 Exclusions reasons were: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Annotation was designed conservatively: where available evidence did not support a defensible assignment, the record was retained without that annotation or referred for review rather than being assigned by unsupported inference.</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began with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model passes under the same structured classification task. Agreement between passes was retained as a measure of consistency: assignments supported by all three passes received three stars, assignments supported by two received two stars, and single-pass assignments were treated according to the review rules. Records that could not be assigned a defensible topic, including some records with insufficient abstract information, were retained in the map as uncoded rather than being excluded.</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Raw model assignments were preserved even where they were not subsequently retained for analysis.</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additional,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2026-10-05T12:29:50Z</dcterms:created>
  <dcterms:modified xsi:type="dcterms:W3CDTF">2026-10-05T12:29:50Z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