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136,057 search results was obtained. Following deduplication, 50,567 unique candidate records remained. Title and abstract repair and enrichment supplemented 2,113 records, whilst a sweep for retractions identified 13 records that were excluded from further analysis.</w:t>
      </w:r>
    </w:p>
    <w:p>
      <w:pPr>
        <w:pStyle w:val="BodyText"/>
      </w:pPr>
      <w:r>
        <w:t xml:space="preserve">Following screening of titles and abstracts, 22,923 were included in the map, and passed on to annotation. Species annotations were obtained for all 22,923 records, geography for 9,525 records, and topic classifications for 22,619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1,238 included records published in 2025, the highest complete publication year in the current corpus, compared with just 552 in 2010.</w:t>
      </w:r>
    </w:p>
    <w:p>
      <w:pPr>
        <w:pStyle w:val="BodyText"/>
      </w:pPr>
      <w:r>
        <w:t xml:space="preserve">The three largest focal species categories were Rainbow trout (9,368 records; 40.9%), Atlantic salmon (8,368; 36.5%) and Unspecified species (5,111;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9,525 records (41.6%), while 13,398 included records (58.4%) did not contain sufficient evidence for a defensible country-level assignment. Among records with assigned geography (Figure 6), the largest country evidence bases were Norway (2,065 records), Canada (1,279), United Kingdom (1,156), Chile (1,102), United States (777),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22,619 of the 22,923 included records; 304 records (1.3%) remained uncoded for topic. Across coded records, the final ontology contained 63,393 distinct record-topic assignments.</w:t>
      </w:r>
    </w:p>
    <w:p>
      <w:pPr>
        <w:pStyle w:val="BodyText"/>
      </w:pPr>
      <w:r>
        <w:t xml:space="preserve">The evidence base was strongly oriented towards Production, represented in 16,715 records (72.9%). Environment was the second-largest theme (5,586; 24.4%), followed by Industry and governance (3,034; 13.2%), Methods (2,733; 11.9%) and Product (2,674; 11.7%). People and society (1,119; 4.9%) and Inputs and resources (878;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(5,205 records; 22.7%), followed by Growth and development (3,295; 14.4%). Other major concentrations included Other diseases - Prevention and treatment (2,074; 9.0%), Other diseases - Epidemiology (1,728; 7.5%), Other diseases - General (1,554; 6.8%) and Alternative feed ingredients (1,540; 6.7%). Sea lice remained a substantial research cluster, including 807 records on Sea lice control and treatment and 590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(5,205; 22.7%), Growth and development (3,295; 14.4%), Other diseases - Prevention and treatment (2,074; 9.0%) and Other diseases - Epidemiology (1,728;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(5,205; 22.7%), followed by Growth and development (3,295; 14.4%), Other diseases - Prevention and treatment (2,074; 9.0%) and Other diseases - Epidemiology (1,728;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(5,205; 22.7%), followed by Growth and development (3,295; 14.4%), Other diseases - Prevention and treatment (2,074; 9.0%), Other diseases - Epidemiology (1,728; 7.5%) and Other diseases - General (1,554; 6.8%).</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(5,205; 22.7%), Growth and development (3,295; 14.4%) and Other diseases - Prevention and treatment (2,074;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(5,205; 22.7%), Growth and development (3,295; 14.4%) and Other diseases - Prevention and treatment (2,074;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5,205 records (22.7%) and was more common than Growth and development (3,295; 14.4%), and Other diseases - Prevention and treatment (2,074;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807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(14.4%),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14.4%,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2026-10-24T10:03:07Z</dcterms:created>
  <dcterms:modified xsi:type="dcterms:W3CDTF">2026-10-24T10:03:07Z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