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pPr>
      <w:r>
        <w:t xml:space="preserve">Table 1. Conceptual search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Substring number</w:t>
            </w:r>
          </w:p>
        </w:tc>
        <w:tc>
          <w:tcPr/>
          <w:p>
            <w:pPr>
              <w:pStyle w:val="Compact"/>
              <w:jc w:val="left"/>
            </w:pPr>
            <w:r>
              <w:t xml:space="preserve">Substring</w:t>
            </w:r>
          </w:p>
        </w:tc>
      </w:tr>
      <w:tr>
        <w:tc>
          <w:tcPr/>
          <w:p>
            <w:pPr>
              <w:pStyle w:val="Compact"/>
              <w:jc w:val="left"/>
            </w:pPr>
            <w:r>
              <w:t xml:space="preserve">#1</w:t>
            </w:r>
          </w:p>
        </w:tc>
        <w:tc>
          <w:tcPr/>
          <w:p>
            <w:pPr>
              <w:pStyle w:val="Compact"/>
              <w:jc w:val="left"/>
            </w:pPr>
            <w:r>
              <w:t xml:space="preserve">farm* OR cage* OR pens OR penned OR pen OR aquacultur* OR commercial*</w:t>
            </w:r>
          </w:p>
        </w:tc>
      </w:tr>
      <w:tr>
        <w:tc>
          <w:tcPr/>
          <w:p>
            <w:pPr>
              <w:pStyle w:val="Compact"/>
              <w:jc w:val="left"/>
            </w:pPr>
            <w:r>
              <w:t xml:space="preserve">#2</w:t>
            </w:r>
          </w:p>
        </w:tc>
        <w:tc>
          <w:tcPr/>
          <w:p>
            <w:pPr>
              <w:pStyle w:val="Compact"/>
              <w:jc w:val="left"/>
            </w:pPr>
            <w:r>
              <w:t xml:space="preserve">salmon OR salmonid* OR Salmo OR Oncorhynchus OR</w:t>
            </w:r>
            <w:r>
              <w:t xml:space="preserve"> </w:t>
            </w:r>
            <w:r>
              <w:t xml:space="preserve">“</w:t>
            </w:r>
            <w:r>
              <w:t xml:space="preserve">rainbow trout</w:t>
            </w:r>
            <w:r>
              <w:t xml:space="preserve">”</w:t>
            </w:r>
          </w:p>
        </w:tc>
      </w:tr>
      <w:tr>
        <w:tc>
          <w:tcPr/>
          <w:p>
            <w:pPr>
              <w:pStyle w:val="Compact"/>
              <w:jc w:val="left"/>
            </w:pPr>
            <w:r>
              <w:t xml:space="preserve">#3</w:t>
            </w:r>
          </w:p>
        </w:tc>
        <w:tc>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pPr>
      <w:r>
        <w:t xml:space="preserve">Table 2. Inclusion criteria for the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Inclusion</w:t>
            </w:r>
          </w:p>
        </w:tc>
      </w:tr>
      <w:tr>
        <w:tc>
          <w:tcPr/>
          <w:p>
            <w:pPr>
              <w:pStyle w:val="Compact"/>
              <w:jc w:val="left"/>
            </w:pPr>
            <w:r>
              <w:t xml:space="preserve">Population</w:t>
            </w:r>
          </w:p>
        </w:tc>
        <w:tc>
          <w:tcPr/>
          <w:p>
            <w:pPr>
              <w:pStyle w:val="Compact"/>
              <w:jc w:val="left"/>
            </w:pPr>
            <w:r>
              <w:t xml:space="preserve">Global scope.</w:t>
            </w:r>
          </w:p>
        </w:tc>
      </w:tr>
      <w:tr>
        <w:tc>
          <w:tcPr/>
          <w:p>
            <w:pPr>
              <w:pStyle w:val="Compact"/>
              <w:jc w:val="left"/>
            </w:pPr>
            <w:r>
              <w:t xml:space="preserve">Phenomenon</w:t>
            </w:r>
          </w:p>
        </w:tc>
        <w:tc>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p>
            <w:pPr>
              <w:pStyle w:val="Compact"/>
              <w:jc w:val="left"/>
            </w:pPr>
            <w:r>
              <w:t xml:space="preserve">Phase</w:t>
            </w:r>
          </w:p>
        </w:tc>
        <w:tc>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p>
            <w:pPr>
              <w:pStyle w:val="Compact"/>
              <w:jc w:val="left"/>
            </w:pPr>
            <w:r>
              <w:t xml:space="preserve">Species</w:t>
            </w:r>
          </w:p>
        </w:tc>
        <w:tc>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p>
            <w:pPr>
              <w:pStyle w:val="Compact"/>
              <w:jc w:val="left"/>
            </w:pPr>
            <w:r>
              <w:t xml:space="preserve">Outcomes</w:t>
            </w:r>
          </w:p>
        </w:tc>
        <w:tc>
          <w:tcPr/>
          <w:p>
            <w:pPr>
              <w:pStyle w:val="Compact"/>
              <w:jc w:val="left"/>
            </w:pPr>
            <w:r>
              <w:t xml:space="preserve">Any measured or analysed outcome, including biological, ecological, environmental, economic, technological, governance, social, cultural, welfare and public-health outcomes.</w:t>
            </w:r>
          </w:p>
        </w:tc>
      </w:tr>
      <w:tr>
        <w:tc>
          <w:tcPr/>
          <w:p>
            <w:pPr>
              <w:pStyle w:val="Compact"/>
              <w:jc w:val="left"/>
            </w:pPr>
            <w:r>
              <w:t xml:space="preserve">Study type</w:t>
            </w:r>
          </w:p>
        </w:tc>
        <w:tc>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2026-10-04T18:28:50Z</dcterms:created>
  <dcterms:modified xsi:type="dcterms:W3CDTF">2026-10-04T18:28:50Z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