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0.png" ContentType="image/png"/>
  <Override PartName="/word/media/rId40.png" ContentType="image/png"/>
  <Override PartName="/word/media/rId37.png" ContentType="image/png"/>
  <Override PartName="/word/media/rId33.png" ContentType="image/png"/>
  <Override PartName="/word/media/rId20.png" ContentType="image/png"/>
  <Override PartName="/word/media/rId76.png" ContentType="image/png"/>
  <Override PartName="/word/media/rId47.png" ContentType="image/png"/>
  <Override PartName="/word/media/rId44.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0" w:name="results"/>
    <w:p>
      <w:pPr>
        <w:pStyle w:val="Heading1"/>
      </w:pPr>
      <w:r>
        <w:t xml:space="preserve">Results</w:t>
      </w:r>
    </w:p>
    <w:bookmarkStart w:id="29" w:name="review-process"/>
    <w:p>
      <w:pPr>
        <w:pStyle w:val="Heading2"/>
      </w:pPr>
      <w:r>
        <w:t xml:space="preserve">Review process</w:t>
      </w:r>
    </w:p>
    <w:p>
      <w:pPr>
        <w:pStyle w:val="FirstParagraph"/>
      </w:pPr>
      <w:r>
        <w:t xml:space="preserve">The review process is outlined in the flow diagram in Figure 1. Across the 7 databases searched, a total of 118,527 search results was obtained. Following deduplication, 47,094 unique candidate records remained. Title and abstract repair and enrichment supplemented 2,218 records, whilst a sweep for retractions identified 12 records that were excluded from further analysis.</w:t>
      </w:r>
    </w:p>
    <w:p>
      <w:pPr>
        <w:pStyle w:val="BodyText"/>
      </w:pPr>
      <w:r>
        <w:t xml:space="preserve">Following screening of titles and abstracts, 21,493 were included in the map, and passed on to annotation. Species annotations were obtained for all 21,493 records, geography for 8,923 records, and topic classifications for 21,246 records.</w:t>
      </w:r>
    </w:p>
    <w:p>
      <w:pPr>
        <w:pStyle w:val="CaptionedFigure"/>
      </w:pPr>
      <w:r>
        <w:drawing>
          <wp:inline>
            <wp:extent cx="5334000" cy="6268525"/>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268525"/>
                    </a:xfrm>
                    <a:prstGeom prst="rect">
                      <a:avLst/>
                    </a:prstGeom>
                    <a:noFill/>
                    <a:ln w="9525">
                      <a:noFill/>
                      <a:headEnd/>
                      <a:tailEnd/>
                    </a:ln>
                  </pic:spPr>
                </pic:pic>
              </a:graphicData>
            </a:graphic>
          </wp:inline>
        </w:drawing>
      </w:r>
    </w:p>
    <w:p>
      <w:pPr>
        <w:pStyle w:val="ImageCaption"/>
      </w:pPr>
      <w:r>
        <w:rPr>
          <w:iCs/>
          <w:i/>
          <w:bCs/>
          <w:b/>
        </w:rPr>
        <w:t xml:space="preserve">Figure 1.</w:t>
      </w:r>
      <w:r>
        <w:t xml:space="preserve"> </w:t>
      </w:r>
      <w:r>
        <w:rPr>
          <w:iCs/>
          <w:i/>
        </w:rPr>
        <w:t xml:space="preserve">Flow of records through database searching, deduplication, record repair and enrichment, retraction screening, title-and-abstract screening, annotation and inclusion in the Living Evidence Map.</w:t>
      </w:r>
    </w:p>
    <w:p>
      <w:pPr>
        <w:pStyle w:val="BodyText"/>
      </w:pPr>
      <w:r>
        <w:t xml:space="preserve">Database provenance was retained through deduplication, allowing the contribution and overlap of the 7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298704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pPr>
      <w:r>
        <w:rPr>
          <w:iCs/>
          <w:i/>
          <w:bCs/>
          <w:b/>
        </w:rPr>
        <w:t xml:space="preserve">Figure 2.</w:t>
      </w:r>
      <w:r>
        <w:t xml:space="preserve"> </w:t>
      </w:r>
      <w:r>
        <w:rPr>
          <w:iCs/>
          <w:i/>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904909"/>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904909"/>
                    </a:xfrm>
                    <a:prstGeom prst="rect">
                      <a:avLst/>
                    </a:prstGeom>
                    <a:noFill/>
                    <a:ln w="9525">
                      <a:noFill/>
                      <a:headEnd/>
                      <a:tailEnd/>
                    </a:ln>
                  </pic:spPr>
                </pic:pic>
              </a:graphicData>
            </a:graphic>
          </wp:inline>
        </w:drawing>
      </w:r>
    </w:p>
    <w:p>
      <w:pPr>
        <w:pStyle w:val="ImageCaption"/>
      </w:pPr>
      <w:r>
        <w:rPr>
          <w:iCs/>
          <w:i/>
          <w:bCs/>
          <w:b/>
        </w:rPr>
        <w:t xml:space="preserve">Figure 3.</w:t>
      </w:r>
      <w:r>
        <w:t xml:space="preserve"> </w:t>
      </w:r>
      <w:r>
        <w:rPr>
          <w:iCs/>
          <w:i/>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Start w:id="36" w:name="publication-year"/>
    <w:p>
      <w:pPr>
        <w:pStyle w:val="Heading2"/>
      </w:pPr>
      <w:r>
        <w:t xml:space="preserve">Publication year</w:t>
      </w:r>
    </w:p>
    <w:p>
      <w:pPr>
        <w:pStyle w:val="FirstParagraph"/>
      </w:pPr>
      <w:r>
        <w:t xml:space="preserve">The volume of academic evidence on salmon farming increased markedly over time. There were 1,189 included records published in 2025, the highest complete publication year in the current corpus, compared with just 516 in 2010.</w:t>
      </w:r>
    </w:p>
    <w:p>
      <w:pPr>
        <w:pStyle w:val="BodyText"/>
      </w:pPr>
      <w:r>
        <w:t xml:space="preserve">The three largest focal species categories were Rainbow trout (8,960 records; 41.7%), Atlantic salmon (8,072; 37.6%) and Unspecified species (4,489; 20.9%).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1" name="Picture"/>
            <a:graphic>
              <a:graphicData uri="http://schemas.openxmlformats.org/drawingml/2006/picture">
                <pic:pic>
                  <pic:nvPicPr>
                    <pic:cNvPr descr="/home/runner/work/LivingEvidenceMap/LivingEvidenceMap/visualisations/figure_01_records_by_publication_year.png" id="32" name="Picture"/>
                    <pic:cNvPicPr>
                      <a:picLocks noChangeArrowheads="1" noChangeAspect="1"/>
                    </pic:cNvPicPr>
                  </pic:nvPicPr>
                  <pic:blipFill>
                    <a:blip r:embed="rId30"/>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pPr>
      <w:r>
        <w:rPr>
          <w:iCs/>
          <w:i/>
          <w:bCs/>
          <w:b/>
        </w:rPr>
        <w:t xml:space="preserve">Figure 4.</w:t>
      </w:r>
      <w:r>
        <w:t xml:space="preserve"> </w:t>
      </w:r>
      <w:r>
        <w:rPr>
          <w:iCs/>
          <w:i/>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4" name="Picture"/>
            <a:graphic>
              <a:graphicData uri="http://schemas.openxmlformats.org/drawingml/2006/picture">
                <pic:pic>
                  <pic:nvPicPr>
                    <pic:cNvPr descr="/home/runner/work/LivingEvidenceMap/LivingEvidenceMap/visualisations/figure_05_records_by_publication_year_high_level_topic.png" id="35" name="Picture"/>
                    <pic:cNvPicPr>
                      <a:picLocks noChangeArrowheads="1" noChangeAspect="1"/>
                    </pic:cNvPicPr>
                  </pic:nvPicPr>
                  <pic:blipFill>
                    <a:blip r:embed="rId33"/>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pPr>
      <w:r>
        <w:rPr>
          <w:iCs/>
          <w:i/>
          <w:bCs/>
          <w:b/>
        </w:rPr>
        <w:t xml:space="preserve">Figure 5.</w:t>
      </w:r>
      <w:r>
        <w:t xml:space="preserve"> </w:t>
      </w:r>
      <w:r>
        <w:rPr>
          <w:iCs/>
          <w:i/>
        </w:rPr>
        <w:t xml:space="preserve">Topic-assignment frequency for high-level topics by publication year.</w:t>
      </w:r>
    </w:p>
    <w:bookmarkEnd w:id="36"/>
    <w:bookmarkStart w:id="43" w:name="geography"/>
    <w:p>
      <w:pPr>
        <w:pStyle w:val="Heading2"/>
      </w:pPr>
      <w:r>
        <w:t xml:space="preserve">Geography</w:t>
      </w:r>
    </w:p>
    <w:p>
      <w:pPr>
        <w:pStyle w:val="FirstParagraph"/>
      </w:pPr>
      <w:r>
        <w:t xml:space="preserve">A substantive study country could be resolved for 8,923 records (41.5%), while 12,570 included records (58.5%) did not contain sufficient evidence for a defensible country-level assignment. Among records with assigned geography (Figure 6), the largest country evidence bases were Norway (1,989 records), Canada (1,152), United Kingdom (1,050), Chile (1,028), United States (669), Turkey (493).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8" name="Picture"/>
            <a:graphic>
              <a:graphicData uri="http://schemas.openxmlformats.org/drawingml/2006/picture">
                <pic:pic>
                  <pic:nvPicPr>
                    <pic:cNvPr descr="/home/runner/work/LivingEvidenceMap/LivingEvidenceMap/visualisations/figure_03_choropleth_records_by_country.png" id="39" name="Picture"/>
                    <pic:cNvPicPr>
                      <a:picLocks noChangeArrowheads="1" noChangeAspect="1"/>
                    </pic:cNvPicPr>
                  </pic:nvPicPr>
                  <pic:blipFill>
                    <a:blip r:embed="rId37"/>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pPr>
      <w:r>
        <w:rPr>
          <w:iCs/>
          <w:i/>
          <w:bCs/>
          <w:b/>
        </w:rPr>
        <w:t xml:space="preserve">Figure 6.</w:t>
      </w:r>
      <w:r>
        <w:t xml:space="preserve"> </w:t>
      </w:r>
      <w:r>
        <w:rPr>
          <w:iCs/>
          <w:i/>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1" name="Picture"/>
            <a:graphic>
              <a:graphicData uri="http://schemas.openxmlformats.org/drawingml/2006/picture">
                <pic:pic>
                  <pic:nvPicPr>
                    <pic:cNvPr descr="/home/runner/work/LivingEvidenceMap/LivingEvidenceMap/visualisations/figure_02_records_by_country.png" id="42" name="Picture"/>
                    <pic:cNvPicPr>
                      <a:picLocks noChangeArrowheads="1" noChangeAspect="1"/>
                    </pic:cNvPicPr>
                  </pic:nvPicPr>
                  <pic:blipFill>
                    <a:blip r:embed="rId40"/>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pPr>
      <w:r>
        <w:rPr>
          <w:iCs/>
          <w:i/>
          <w:bCs/>
          <w:b/>
        </w:rPr>
        <w:t xml:space="preserve">Figure 7.</w:t>
      </w:r>
      <w:r>
        <w:t xml:space="preserve"> </w:t>
      </w:r>
      <w:r>
        <w:rPr>
          <w:iCs/>
          <w:i/>
        </w:rPr>
        <w:t xml:space="preserve">Records per country for the 20 most frequently represented study countries, by focal farmed species.</w:t>
      </w:r>
    </w:p>
    <w:bookmarkEnd w:id="43"/>
    <w:bookmarkStart w:id="75" w:name="topics"/>
    <w:p>
      <w:pPr>
        <w:pStyle w:val="Heading2"/>
      </w:pPr>
      <w:r>
        <w:t xml:space="preserve">Topics</w:t>
      </w:r>
    </w:p>
    <w:p>
      <w:pPr>
        <w:pStyle w:val="FirstParagraph"/>
      </w:pPr>
      <w:r>
        <w:t xml:space="preserve">At least one topic was assigned to 21,246 of the 21,493 included records; 247 records (1.1%) remained uncoded for topic. Across coded records, the final ontology contained 60,221 distinct record-topic assignments.</w:t>
      </w:r>
    </w:p>
    <w:p>
      <w:pPr>
        <w:pStyle w:val="BodyText"/>
      </w:pPr>
      <w:r>
        <w:t xml:space="preserve">The evidence base was strongly oriented towards Production, represented in 15,820 records (73.6%). Environment was the second-largest theme (5,185; 24.1%), followed by Industry and governance (2,745; 12.8%), Methods (2,684; 12.5%) and Product (2,594; 12.1%). People and society (1,046; 4.9%) and Inputs and resources (835; 3.9%)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5" name="Picture"/>
            <a:graphic>
              <a:graphicData uri="http://schemas.openxmlformats.org/drawingml/2006/picture">
                <pic:pic>
                  <pic:nvPicPr>
                    <pic:cNvPr descr="/home/runner/work/LivingEvidenceMap/LivingEvidenceMap/visualisations/topic_hierarchy/figure_04a_top_level_topics.png" id="46" name="Picture"/>
                    <pic:cNvPicPr>
                      <a:picLocks noChangeArrowheads="1" noChangeAspect="1"/>
                    </pic:cNvPicPr>
                  </pic:nvPicPr>
                  <pic:blipFill>
                    <a:blip r:embed="rId44"/>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pPr>
      <w:r>
        <w:rPr>
          <w:iCs/>
          <w:i/>
          <w:bCs/>
          <w:b/>
        </w:rPr>
        <w:t xml:space="preserve">Figure 8.</w:t>
      </w:r>
      <w:r>
        <w:t xml:space="preserve"> </w:t>
      </w:r>
      <w:r>
        <w:rPr>
          <w:iCs/>
          <w:i/>
        </w:rPr>
        <w:t xml:space="preserve">High-level topic frequency by focal farmed species. Numbers at bar ends are unique records assigned to each high-level theme; stacked species segments may sum above the unique-record total for multi-species records.</w:t>
      </w:r>
    </w:p>
    <w:bookmarkStart w:id="50"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(5,002 records; 23.3%), followed by Growth and development (3,126; 14.5%). Other major concentrations included Other diseases - Prevention and treatment (2,004; 9.3%), Other diseases - Epidemiology (1,658; 7.7%), Other diseases - General (1,504; 7.0%) and Alternative feed ingredients (1,482; 6.9%). Sea lice remained a substantial research cluster, including 770 records on Sea lice control and treatment and 576 on Sea lice epidemiology.</w:t>
      </w:r>
    </w:p>
    <w:p>
      <w:pPr>
        <w:pStyle w:val="CaptionedFigure"/>
      </w:pPr>
      <w:r>
        <w:drawing>
          <wp:inline>
            <wp:extent cx="5334000" cy="6770155"/>
            <wp:effectExtent b="0" l="0" r="0" t="0"/>
            <wp:docPr descr="Figure 9. Topic-assignment frequency within the Production theme." title="" id="48" name="Picture"/>
            <a:graphic>
              <a:graphicData uri="http://schemas.openxmlformats.org/drawingml/2006/picture">
                <pic:pic>
                  <pic:nvPicPr>
                    <pic:cNvPr descr="/home/runner/work/LivingEvidenceMap/LivingEvidenceMap/visualisations/topic_hierarchy/figure_04a_hierarchy_production.png" id="49" name="Picture"/>
                    <pic:cNvPicPr>
                      <a:picLocks noChangeArrowheads="1" noChangeAspect="1"/>
                    </pic:cNvPicPr>
                  </pic:nvPicPr>
                  <pic:blipFill>
                    <a:blip r:embed="rId47"/>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pPr>
      <w:r>
        <w:rPr>
          <w:iCs/>
          <w:i/>
          <w:bCs/>
          <w:b/>
        </w:rPr>
        <w:t xml:space="preserve">Figure 9.</w:t>
      </w:r>
      <w:r>
        <w:t xml:space="preserve"> </w:t>
      </w:r>
      <w:r>
        <w:rPr>
          <w:iCs/>
          <w:i/>
        </w:rPr>
        <w:t xml:space="preserve">Topic-assignment frequency within the Production theme.</w:t>
      </w:r>
    </w:p>
    <w:bookmarkEnd w:id="50"/>
    <w:bookmarkStart w:id="54" w:name="environment"/>
    <w:p>
      <w:pPr>
        <w:pStyle w:val="Heading3"/>
      </w:pPr>
      <w:r>
        <w:t xml:space="preserve">Environment</w:t>
      </w:r>
    </w:p>
    <w:p>
      <w:pPr>
        <w:pStyle w:val="FirstParagraph"/>
      </w:pPr>
      <w:r>
        <w:t xml:space="preserve">Environmental research was concentrated in Physiology, metabolism and biological responses (5,002; 23.3%), Growth and development (3,126; 14.5%), Other diseases - Prevention and treatment (2,004; 9.3%) and Other diseases - Epidemiology (1,658; 7.7%).</w:t>
      </w:r>
    </w:p>
    <w:p>
      <w:pPr>
        <w:pStyle w:val="CaptionedFigure"/>
      </w:pPr>
      <w:r>
        <w:drawing>
          <wp:inline>
            <wp:extent cx="5334000" cy="3743860"/>
            <wp:effectExtent b="0" l="0" r="0" t="0"/>
            <wp:docPr descr="Figure 10. Topic-assignment frequency within the Environment theme." title="" id="52" name="Picture"/>
            <a:graphic>
              <a:graphicData uri="http://schemas.openxmlformats.org/drawingml/2006/picture">
                <pic:pic>
                  <pic:nvPicPr>
                    <pic:cNvPr descr="/home/runner/work/LivingEvidenceMap/LivingEvidenceMap/visualisations/topic_hierarchy/figure_04b_hierarchy_environment.png" id="53" name="Picture"/>
                    <pic:cNvPicPr>
                      <a:picLocks noChangeArrowheads="1" noChangeAspect="1"/>
                    </pic:cNvPicPr>
                  </pic:nvPicPr>
                  <pic:blipFill>
                    <a:blip r:embed="rId51"/>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pPr>
      <w:r>
        <w:rPr>
          <w:iCs/>
          <w:i/>
          <w:bCs/>
          <w:b/>
        </w:rPr>
        <w:t xml:space="preserve">Figure 10.</w:t>
      </w:r>
      <w:r>
        <w:t xml:space="preserve"> </w:t>
      </w:r>
      <w:r>
        <w:rPr>
          <w:iCs/>
          <w:i/>
        </w:rPr>
        <w:t xml:space="preserve">Topic-assignment frequency within the Environment theme.</w:t>
      </w:r>
    </w:p>
    <w:bookmarkEnd w:id="54"/>
    <w:bookmarkStart w:id="58" w:name="methods"/>
    <w:p>
      <w:pPr>
        <w:pStyle w:val="Heading3"/>
      </w:pPr>
      <w:r>
        <w:t xml:space="preserve">Methods</w:t>
      </w:r>
    </w:p>
    <w:p>
      <w:pPr>
        <w:pStyle w:val="FirstParagraph"/>
      </w:pPr>
      <w:r>
        <w:t xml:space="preserve">Methods research was dominated by Physiology, metabolism and biological responses (5,002; 23.3%), followed by Growth and development (3,126; 14.5%), Other diseases - Prevention and treatment (2,004; 9.3%) and Other diseases - Epidemiology (1,658; 7.7%).</w:t>
      </w:r>
    </w:p>
    <w:p>
      <w:pPr>
        <w:pStyle w:val="CaptionedFigure"/>
      </w:pPr>
      <w:r>
        <w:drawing>
          <wp:inline>
            <wp:extent cx="5334000" cy="1725645"/>
            <wp:effectExtent b="0" l="0" r="0" t="0"/>
            <wp:docPr descr="Figure 11. Topic-assignment frequency within the Methods theme." title="" id="56" name="Picture"/>
            <a:graphic>
              <a:graphicData uri="http://schemas.openxmlformats.org/drawingml/2006/picture">
                <pic:pic>
                  <pic:nvPicPr>
                    <pic:cNvPr descr="/home/runner/work/LivingEvidenceMap/LivingEvidenceMap/visualisations/topic_hierarchy/figure_04c_hierarchy_methods.png" id="57" name="Picture"/>
                    <pic:cNvPicPr>
                      <a:picLocks noChangeArrowheads="1" noChangeAspect="1"/>
                    </pic:cNvPicPr>
                  </pic:nvPicPr>
                  <pic:blipFill>
                    <a:blip r:embed="rId55"/>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pPr>
      <w:r>
        <w:rPr>
          <w:iCs/>
          <w:i/>
          <w:bCs/>
          <w:b/>
        </w:rPr>
        <w:t xml:space="preserve">Figure 11.</w:t>
      </w:r>
      <w:r>
        <w:t xml:space="preserve"> </w:t>
      </w:r>
      <w:r>
        <w:rPr>
          <w:iCs/>
          <w:i/>
        </w:rPr>
        <w:t xml:space="preserve">Topic-assignment frequency within the Methods theme.</w:t>
      </w:r>
    </w:p>
    <w:bookmarkEnd w:id="58"/>
    <w:bookmarkStart w:id="62"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(5,002; 23.3%), followed by Growth and development (3,126; 14.5%), Other diseases - Prevention and treatment (2,004; 9.3%), Other diseases - Epidemiology (1,658; 7.7%) and Other diseases - General (1,504; 7.0%).</w:t>
      </w:r>
    </w:p>
    <w:p>
      <w:pPr>
        <w:pStyle w:val="CaptionedFigure"/>
      </w:pPr>
      <w:r>
        <w:drawing>
          <wp:inline>
            <wp:extent cx="5334000" cy="2861019"/>
            <wp:effectExtent b="0" l="0" r="0" t="0"/>
            <wp:docPr descr="Figure 12. Topic-assignment frequency within the Industry and governance theme." title="" id="60" name="Picture"/>
            <a:graphic>
              <a:graphicData uri="http://schemas.openxmlformats.org/drawingml/2006/picture">
                <pic:pic>
                  <pic:nvPicPr>
                    <pic:cNvPr descr="/home/runner/work/LivingEvidenceMap/LivingEvidenceMap/visualisations/topic_hierarchy/figure_04d_hierarchy_industry_and_governance.png" id="61" name="Picture"/>
                    <pic:cNvPicPr>
                      <a:picLocks noChangeArrowheads="1" noChangeAspect="1"/>
                    </pic:cNvPicPr>
                  </pic:nvPicPr>
                  <pic:blipFill>
                    <a:blip r:embed="rId59"/>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pPr>
      <w:r>
        <w:rPr>
          <w:iCs/>
          <w:i/>
          <w:bCs/>
          <w:b/>
        </w:rPr>
        <w:t xml:space="preserve">Figure 12.</w:t>
      </w:r>
      <w:r>
        <w:t xml:space="preserve"> </w:t>
      </w:r>
      <w:r>
        <w:rPr>
          <w:iCs/>
          <w:i/>
        </w:rPr>
        <w:t xml:space="preserve">Topic-assignment frequency within the Industry and governance theme.</w:t>
      </w:r>
    </w:p>
    <w:bookmarkEnd w:id="62"/>
    <w:bookmarkStart w:id="66" w:name="product"/>
    <w:p>
      <w:pPr>
        <w:pStyle w:val="Heading3"/>
      </w:pPr>
      <w:r>
        <w:t xml:space="preserve">Product</w:t>
      </w:r>
    </w:p>
    <w:p>
      <w:pPr>
        <w:pStyle w:val="FirstParagraph"/>
      </w:pPr>
      <w:r>
        <w:t xml:space="preserve">Product research was led by Physiology, metabolism and biological responses (5,002; 23.3%), Growth and development (3,126; 14.5%) and Other diseases - Prevention and treatment (2,004; 9.3%). Other diseases - Epidemiology and Other diseases - General were also prominent.</w:t>
      </w:r>
    </w:p>
    <w:p>
      <w:pPr>
        <w:pStyle w:val="CaptionedFigure"/>
      </w:pPr>
      <w:r>
        <w:drawing>
          <wp:inline>
            <wp:extent cx="5334000" cy="3113553"/>
            <wp:effectExtent b="0" l="0" r="0" t="0"/>
            <wp:docPr descr="Figure 13. Topic-assignment frequency within the Product theme." title="" id="64" name="Picture"/>
            <a:graphic>
              <a:graphicData uri="http://schemas.openxmlformats.org/drawingml/2006/picture">
                <pic:pic>
                  <pic:nvPicPr>
                    <pic:cNvPr descr="/home/runner/work/LivingEvidenceMap/LivingEvidenceMap/visualisations/topic_hierarchy/figure_04e_hierarchy_product.png" id="65" name="Picture"/>
                    <pic:cNvPicPr>
                      <a:picLocks noChangeArrowheads="1" noChangeAspect="1"/>
                    </pic:cNvPicPr>
                  </pic:nvPicPr>
                  <pic:blipFill>
                    <a:blip r:embed="rId63"/>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pPr>
      <w:r>
        <w:rPr>
          <w:iCs/>
          <w:i/>
          <w:bCs/>
          <w:b/>
        </w:rPr>
        <w:t xml:space="preserve">Figure 13.</w:t>
      </w:r>
      <w:r>
        <w:t xml:space="preserve"> </w:t>
      </w:r>
      <w:r>
        <w:rPr>
          <w:iCs/>
          <w:i/>
        </w:rPr>
        <w:t xml:space="preserve">Topic-assignment frequency within the Product theme.</w:t>
      </w:r>
    </w:p>
    <w:bookmarkEnd w:id="66"/>
    <w:bookmarkStart w:id="70"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(5,002; 23.3%), Growth and development (3,126; 14.5%) and Other diseases - Prevention and treatment (2,004; 9.3%). Topics relating to Employment and job creation,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Competition with other food uses, Health impacts of aquaculture,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8" name="Picture"/>
            <a:graphic>
              <a:graphicData uri="http://schemas.openxmlformats.org/drawingml/2006/picture">
                <pic:pic>
                  <pic:nvPicPr>
                    <pic:cNvPr descr="/home/runner/work/LivingEvidenceMap/LivingEvidenceMap/visualisations/topic_hierarchy/figure_04f_hierarchy_people_and_society.png" id="69" name="Picture"/>
                    <pic:cNvPicPr>
                      <a:picLocks noChangeArrowheads="1" noChangeAspect="1"/>
                    </pic:cNvPicPr>
                  </pic:nvPicPr>
                  <pic:blipFill>
                    <a:blip r:embed="rId67"/>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pPr>
      <w:r>
        <w:rPr>
          <w:iCs/>
          <w:i/>
          <w:bCs/>
          <w:b/>
        </w:rPr>
        <w:t xml:space="preserve">Figure 14.</w:t>
      </w:r>
      <w:r>
        <w:t xml:space="preserve"> </w:t>
      </w:r>
      <w:r>
        <w:rPr>
          <w:iCs/>
          <w:i/>
        </w:rPr>
        <w:t xml:space="preserve">Topic-assignment frequency within the People and society theme.</w:t>
      </w:r>
    </w:p>
    <w:bookmarkEnd w:id="70"/>
    <w:bookmarkStart w:id="74"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5,002 records (23.3%) and was more common than Growth and development (3,126; 14.5%), and Other diseases - Prevention and treatment (2,004; 9.3%). Affordability and access and Therapeutants and chemicals were represented in only 10 (&lt;0.1%) and 9 (&lt;0.1%) records, respectively.</w:t>
      </w:r>
    </w:p>
    <w:p>
      <w:pPr>
        <w:pStyle w:val="CaptionedFigure"/>
      </w:pPr>
      <w:r>
        <w:drawing>
          <wp:inline>
            <wp:extent cx="5334000" cy="2230712"/>
            <wp:effectExtent b="0" l="0" r="0" t="0"/>
            <wp:docPr descr="Figure 15. Topic-assignment frequency within the Inputs and resources theme." title="" id="72" name="Picture"/>
            <a:graphic>
              <a:graphicData uri="http://schemas.openxmlformats.org/drawingml/2006/picture">
                <pic:pic>
                  <pic:nvPicPr>
                    <pic:cNvPr descr="/home/runner/work/LivingEvidenceMap/LivingEvidenceMap/visualisations/topic_hierarchy/figure_04g_hierarchy_inputs_and_resources.png" id="73" name="Picture"/>
                    <pic:cNvPicPr>
                      <a:picLocks noChangeArrowheads="1" noChangeAspect="1"/>
                    </pic:cNvPicPr>
                  </pic:nvPicPr>
                  <pic:blipFill>
                    <a:blip r:embed="rId71"/>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pPr>
      <w:r>
        <w:rPr>
          <w:iCs/>
          <w:i/>
          <w:bCs/>
          <w:b/>
        </w:rPr>
        <w:t xml:space="preserve">Figure 15.</w:t>
      </w:r>
      <w:r>
        <w:t xml:space="preserve"> </w:t>
      </w:r>
      <w:r>
        <w:rPr>
          <w:iCs/>
          <w:i/>
        </w:rPr>
        <w:t xml:space="preserve">Topic-assignment frequency within the Inputs and resources theme.</w:t>
      </w:r>
    </w:p>
    <w:bookmarkEnd w:id="74"/>
    <w:bookmarkEnd w:id="75"/>
    <w:bookmarkStart w:id="79" w:name="comparison-with-secondary-research"/>
    <w:p>
      <w:pPr>
        <w:pStyle w:val="Heading2"/>
      </w:pPr>
      <w:r>
        <w:t xml:space="preserve">Comparison with secondary research</w:t>
      </w:r>
    </w:p>
    <w:p>
      <w:pPr>
        <w:pStyle w:val="FirstParagraph"/>
      </w:pPr>
      <w:r>
        <w:t xml:space="preserve">The supplied manuscript draft compares this evidence map with a recent umbrella review of 37 systematic reviews across salmon aquaculture. Recalculation against the final canonical evidence map confirms the principal imbalance identified in the draft. Sea lice control and treatment occurs in 770 mapped records (3.6%), compared with 8 of 37 systematic reviews (21.6%) in the umbrella-review dataset. By contrast, several of the largest areas in the mapped literature have comparatively little systematic-review coverage, including Physiology, metabolism and biological responses (23.3% of mapped records), Growth and development (14.5%), and major disease, environmental and methodological topics.</w:t>
      </w:r>
    </w:p>
    <w:p>
      <w:pPr>
        <w:pStyle w:val="BodyText"/>
      </w:pPr>
      <w:r>
        <w:t xml:space="preserve">The social evidence base is particularly weakly represented in the systematic-review literature described in the draft. In the final canonical map, Antimicrobial resistance and One Health accounts for 23.3% of records, Conflict and social licence for 14.5%, and Public discourse and representation for 9.3%; the supplied umbrella-review dataset contains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in the supplied umbrella review of 37 systematic reviews across salmon aquaculture. Data and figure retained from the supplied manuscript draft." title="" id="77" name="Picture"/>
            <a:graphic>
              <a:graphicData uri="http://schemas.openxmlformats.org/drawingml/2006/picture">
                <pic:pic>
                  <pic:nvPicPr>
                    <pic:cNvPr descr="/home/runner/work/LivingEvidenceMap/LivingEvidenceMap/visualisations/figure_08_umbrella_review.png" id="78" name="Picture"/>
                    <pic:cNvPicPr>
                      <a:picLocks noChangeArrowheads="1" noChangeAspect="1"/>
                    </pic:cNvPicPr>
                  </pic:nvPicPr>
                  <pic:blipFill>
                    <a:blip r:embed="rId76"/>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pPr>
      <w:r>
        <w:rPr>
          <w:iCs/>
          <w:i/>
          <w:bCs/>
          <w:b/>
        </w:rPr>
        <w:t xml:space="preserve">Figure 16.</w:t>
      </w:r>
      <w:r>
        <w:t xml:space="preserve"> </w:t>
      </w:r>
      <w:r>
        <w:rPr>
          <w:iCs/>
          <w:i/>
        </w:rPr>
        <w:t xml:space="preserve">Topic-assignment frequency in the supplied umbrella review of 37 systematic reviews across salmon aquaculture. Data and figure retained from the supplied manuscript draft.</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image" Id="rId76" Target="media/rId76.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2026-10-04T20:00:23Z</dcterms:created>
  <dcterms:modified xsi:type="dcterms:W3CDTF">2026-10-04T20:00:23Z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