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2,162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tc>
      </w:tr>
    </w:tbl>
    <w:p>
      <w:pPr>
        <w:pStyle w:val="ImageCaption"/>
      </w:pPr>
      <w:r>
        <w:rPr>
          <w:iCs/>
          <w:i/>
          <w:bCs/>
          <w:b/>
        </w:rPr>
        <w:t xml:space="preserve">Figure 1.</w:t>
      </w:r>
      <w:r>
        <w:t xml:space="preserve"> </w:t>
      </w:r>
      <w:r>
        <w:rPr>
          <w:iCs/>
          <w:i/>
        </w:rP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c>
      </w:tr>
    </w:tbl>
    <w:p>
      <w:pPr>
        <w:pStyle w:val="ImageCaption"/>
      </w:pPr>
      <w:r>
        <w:rPr>
          <w:iCs/>
          <w:i/>
          <w:bCs/>
          <w:b/>
        </w:rPr>
        <w:t xml:space="preserve">Figure 2.</w:t>
      </w:r>
      <w:r>
        <w:t xml:space="preserve"> </w:t>
      </w:r>
      <w:r>
        <w:rPr>
          <w:iCs/>
          <w:i/>
        </w:rPr>
        <w:t xml:space="preserve">Unique contribution of each bibliographic database. Records are counted as unique when they were retrieved from that database and no other searched database. Black bars show unique records in the deduplicated corpus; olive-green bars show the subset retained in the definitive final included corpus.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tc>
      </w:tr>
    </w:tbl>
    <w:p>
      <w:pPr>
        <w:pStyle w:val="ImageCaption"/>
      </w:pPr>
      <w:r>
        <w:rPr>
          <w:iCs/>
          <w:i/>
          <w:bCs/>
          <w:b/>
        </w:rPr>
        <w:t xml:space="preserve">Figure 3.</w:t>
      </w:r>
      <w:r>
        <w:t xml:space="preserve"> </w:t>
      </w:r>
      <w:r>
        <w:rPr>
          <w:iCs/>
          <w:i/>
        </w:rPr>
        <w:t xml:space="preserve">Overlap among bibliographic databases. Only records retrieved from two or more databases are shown; single-database records are presented in Figure 2. Black bars show exact database intersections in the deduplicated corpus and olive-green bars show the corresponding records retained in the definitive final included corpus. The matrix indicates the databases represented in each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4.</w:t>
            </w:r>
            <w:r>
              <w:t xml:space="preserve"> </w:t>
            </w:r>
            <w:r>
              <w:rPr>
                <w:iCs/>
                <w:i/>
              </w:rPr>
              <w:t xml:space="preserve">Records by publication year and focal farmed species.</w:t>
            </w:r>
          </w:p>
        </w:tc>
      </w:tr>
    </w:tbl>
    <w:p>
      <w:pPr>
        <w:pStyle w:val="ImageCaption"/>
      </w:pPr>
      <w:r>
        <w:rPr>
          <w:iCs/>
          <w:i/>
          <w:bCs/>
          <w:b/>
        </w:rPr>
        <w:t xml:space="preserve">Figure 4.</w:t>
      </w:r>
      <w:r>
        <w:t xml:space="preserve"> </w:t>
      </w:r>
      <w:r>
        <w:rPr>
          <w:iCs/>
          <w:i/>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5.</w:t>
            </w:r>
            <w:r>
              <w:t xml:space="preserve"> </w:t>
            </w:r>
            <w:r>
              <w:rPr>
                <w:iCs/>
                <w:i/>
              </w:rPr>
              <w:t xml:space="preserve">Topic-assignment frequency for high-level topics by publication year.</w:t>
            </w:r>
          </w:p>
        </w:tc>
      </w:tr>
    </w:tbl>
    <w:p>
      <w:pPr>
        <w:pStyle w:val="ImageCaption"/>
      </w:pPr>
      <w:r>
        <w:rPr>
          <w:iCs/>
          <w:i/>
          <w:bCs/>
          <w:b/>
        </w:rPr>
        <w:t xml:space="preserve">Figure 5.</w:t>
      </w:r>
      <w:r>
        <w:t xml:space="preserve"> </w:t>
      </w:r>
      <w:r>
        <w:rPr>
          <w:iCs/>
          <w:i/>
        </w:rP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6.</w:t>
            </w:r>
            <w:r>
              <w:t xml:space="preserve"> </w:t>
            </w:r>
            <w:r>
              <w:rPr>
                <w:iCs/>
                <w:i/>
              </w:rPr>
              <w:t xml:space="preserve">Global distribution of included records by substantive study country.</w:t>
            </w:r>
          </w:p>
        </w:tc>
      </w:tr>
    </w:tbl>
    <w:p>
      <w:pPr>
        <w:pStyle w:val="ImageCaption"/>
      </w:pPr>
      <w:r>
        <w:rPr>
          <w:iCs/>
          <w:i/>
          <w:bCs/>
          <w:b/>
        </w:rPr>
        <w:t xml:space="preserve">Figure 6.</w:t>
      </w:r>
      <w:r>
        <w:t xml:space="preserve"> </w:t>
      </w:r>
      <w:r>
        <w:rPr>
          <w:iCs/>
          <w:i/>
        </w:rP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7.</w:t>
            </w:r>
            <w:r>
              <w:t xml:space="preserve"> </w:t>
            </w:r>
            <w:r>
              <w:rPr>
                <w:iCs/>
                <w:i/>
              </w:rPr>
              <w:t xml:space="preserve">Records per country for the 20 most frequently represented study countries, by focal farmed species.</w:t>
            </w:r>
          </w:p>
        </w:tc>
      </w:tr>
    </w:tbl>
    <w:p>
      <w:pPr>
        <w:pStyle w:val="ImageCaption"/>
      </w:pPr>
      <w:r>
        <w:rPr>
          <w:iCs/>
          <w:i/>
          <w:bCs/>
          <w:b/>
        </w:rPr>
        <w:t xml:space="preserve">Figure 7.</w:t>
      </w:r>
      <w:r>
        <w:t xml:space="preserve"> </w:t>
      </w:r>
      <w:r>
        <w:rPr>
          <w:iCs/>
          <w:i/>
        </w:rP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rPr>
          <w:iCs/>
          <w:i/>
          <w:bCs/>
          <w:b/>
        </w:rPr>
        <w:t xml:space="preserve">Figure 8.</w:t>
      </w:r>
      <w:r>
        <w:t xml:space="preserve"> </w:t>
      </w:r>
      <w:r>
        <w:rPr>
          <w:iCs/>
          <w:i/>
        </w:rP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9.</w:t>
            </w:r>
            <w:r>
              <w:t xml:space="preserve"> </w:t>
            </w:r>
            <w:r>
              <w:rPr>
                <w:iCs/>
                <w:i/>
              </w:rPr>
              <w:t xml:space="preserve">Topic-assignment frequency within the Production theme.</w:t>
            </w:r>
          </w:p>
        </w:tc>
      </w:tr>
    </w:tbl>
    <w:p>
      <w:pPr>
        <w:pStyle w:val="ImageCaption"/>
      </w:pPr>
      <w:r>
        <w:rPr>
          <w:iCs/>
          <w:i/>
          <w:bCs/>
          <w:b/>
        </w:rPr>
        <w:t xml:space="preserve">Figure 9.</w:t>
      </w:r>
      <w:r>
        <w:t xml:space="preserve"> </w:t>
      </w:r>
      <w:r>
        <w:rPr>
          <w:iCs/>
          <w:i/>
        </w:rP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10.</w:t>
            </w:r>
            <w:r>
              <w:t xml:space="preserve"> </w:t>
            </w:r>
            <w:r>
              <w:rPr>
                <w:iCs/>
                <w:i/>
              </w:rPr>
              <w:t xml:space="preserve">Topic-assignment frequency within the Environment theme.</w:t>
            </w:r>
          </w:p>
        </w:tc>
      </w:tr>
    </w:tbl>
    <w:p>
      <w:pPr>
        <w:pStyle w:val="ImageCaption"/>
      </w:pPr>
      <w:r>
        <w:rPr>
          <w:iCs/>
          <w:i/>
          <w:bCs/>
          <w:b/>
        </w:rPr>
        <w:t xml:space="preserve">Figure 10.</w:t>
      </w:r>
      <w:r>
        <w:t xml:space="preserve"> </w:t>
      </w:r>
      <w:r>
        <w:rPr>
          <w:iCs/>
          <w:i/>
        </w:rP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11.</w:t>
            </w:r>
            <w:r>
              <w:t xml:space="preserve"> </w:t>
            </w:r>
            <w:r>
              <w:rPr>
                <w:iCs/>
                <w:i/>
              </w:rPr>
              <w:t xml:space="preserve">Topic-assignment frequency within the Methods theme.</w:t>
            </w:r>
          </w:p>
        </w:tc>
      </w:tr>
    </w:tbl>
    <w:p>
      <w:pPr>
        <w:pStyle w:val="ImageCaption"/>
      </w:pPr>
      <w:r>
        <w:rPr>
          <w:iCs/>
          <w:i/>
          <w:bCs/>
          <w:b/>
        </w:rPr>
        <w:t xml:space="preserve">Figure 11.</w:t>
      </w:r>
      <w:r>
        <w:t xml:space="preserve"> </w:t>
      </w:r>
      <w:r>
        <w:rPr>
          <w:iCs/>
          <w:i/>
        </w:rP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12.</w:t>
            </w:r>
            <w:r>
              <w:t xml:space="preserve"> </w:t>
            </w:r>
            <w:r>
              <w:rPr>
                <w:iCs/>
                <w:i/>
              </w:rPr>
              <w:t xml:space="preserve">Topic-assignment frequency within the Industry and governance theme.</w:t>
            </w:r>
          </w:p>
        </w:tc>
      </w:tr>
    </w:tbl>
    <w:p>
      <w:pPr>
        <w:pStyle w:val="ImageCaption"/>
      </w:pPr>
      <w:r>
        <w:rPr>
          <w:iCs/>
          <w:i/>
          <w:bCs/>
          <w:b/>
        </w:rPr>
        <w:t xml:space="preserve">Figure 12.</w:t>
      </w:r>
      <w:r>
        <w:t xml:space="preserve"> </w:t>
      </w:r>
      <w:r>
        <w:rPr>
          <w:iCs/>
          <w:i/>
        </w:rP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13.</w:t>
            </w:r>
            <w:r>
              <w:t xml:space="preserve"> </w:t>
            </w:r>
            <w:r>
              <w:rPr>
                <w:iCs/>
                <w:i/>
              </w:rPr>
              <w:t xml:space="preserve">Topic-assignment frequency within the Product theme.</w:t>
            </w:r>
          </w:p>
        </w:tc>
      </w:tr>
    </w:tbl>
    <w:p>
      <w:pPr>
        <w:pStyle w:val="ImageCaption"/>
      </w:pPr>
      <w:r>
        <w:rPr>
          <w:iCs/>
          <w:i/>
          <w:bCs/>
          <w:b/>
        </w:rPr>
        <w:t xml:space="preserve">Figure 13.</w:t>
      </w:r>
      <w:r>
        <w:t xml:space="preserve"> </w:t>
      </w:r>
      <w:r>
        <w:rPr>
          <w:iCs/>
          <w:i/>
        </w:rP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14.</w:t>
            </w:r>
            <w:r>
              <w:t xml:space="preserve"> </w:t>
            </w:r>
            <w:r>
              <w:rPr>
                <w:iCs/>
                <w:i/>
              </w:rPr>
              <w:t xml:space="preserve">Topic-assignment frequency within the People and society theme.</w:t>
            </w:r>
          </w:p>
        </w:tc>
      </w:tr>
    </w:tbl>
    <w:p>
      <w:pPr>
        <w:pStyle w:val="ImageCaption"/>
      </w:pPr>
      <w:r>
        <w:rPr>
          <w:iCs/>
          <w:i/>
          <w:bCs/>
          <w:b/>
        </w:rPr>
        <w:t xml:space="preserve">Figure 14.</w:t>
      </w:r>
      <w:r>
        <w:t xml:space="preserve"> </w:t>
      </w:r>
      <w:r>
        <w:rPr>
          <w:iCs/>
          <w:i/>
        </w:rP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15.</w:t>
            </w:r>
            <w:r>
              <w:t xml:space="preserve"> </w:t>
            </w:r>
            <w:r>
              <w:rPr>
                <w:iCs/>
                <w:i/>
              </w:rPr>
              <w:t xml:space="preserve">Topic-assignment frequency within the Inputs and resources theme.</w:t>
            </w:r>
          </w:p>
        </w:tc>
      </w:tr>
    </w:tbl>
    <w:p>
      <w:pPr>
        <w:pStyle w:val="ImageCaption"/>
      </w:pPr>
      <w:r>
        <w:rPr>
          <w:iCs/>
          <w:i/>
          <w:bCs/>
          <w:b/>
        </w:rPr>
        <w:t xml:space="preserve">Figure 15.</w:t>
      </w:r>
      <w:r>
        <w:t xml:space="preserve"> </w:t>
      </w:r>
      <w:r>
        <w:rPr>
          <w:iCs/>
          <w:i/>
        </w:rP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tc>
      </w:tr>
    </w:tbl>
    <w:p>
      <w:pPr>
        <w:pStyle w:val="ImageCaption"/>
      </w:pPr>
      <w:r>
        <w:rPr>
          <w:iCs/>
          <w:i/>
          <w:bCs/>
          <w:b/>
        </w:rPr>
        <w:t xml:space="preserve">Figure 16.</w:t>
      </w:r>
      <w:r>
        <w:t xml:space="preserve"> </w:t>
      </w:r>
      <w:r>
        <w:rPr>
          <w:iCs/>
          <w:i/>
        </w:rP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2026-10-04T16:38:58Z</dcterms:created>
  <dcterms:modified xsi:type="dcterms:W3CDTF">2026-10-04T16:38:58Z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