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Original searches were performed on September 22nd 2026, with an initial screening of a validation set performed on 11th November 2024 in The Lens. The searches ultimately applied across all databases are provided in Additional File 1.</w:t>
      </w:r>
    </w:p>
    <w:p>
      <w:pPr>
        <w:pStyle w:val="BodyText"/>
      </w:pPr>
      <w:r>
        <w:t xml:space="preserve">Table 1. Search strategy and representative hits in The Lens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Substring number</w:t>
            </w:r>
          </w:p>
        </w:tc>
        <w:tc>
          <w:tcPr/>
          <w:p>
            <w:pPr>
              <w:pStyle w:val="Compact"/>
              <w:jc w:val="left"/>
            </w:pPr>
            <w:r>
              <w:t xml:space="preserve">Substring</w:t>
            </w:r>
          </w:p>
        </w:tc>
        <w:tc>
          <w:tcPr/>
          <w:p>
            <w:pPr>
              <w:pStyle w:val="Compact"/>
              <w:jc w:val="left"/>
            </w:pPr>
            <w:r>
              <w:t xml:space="preserve">Hits in Lens 27/09/26</w:t>
            </w:r>
          </w:p>
        </w:tc>
      </w:tr>
      <w:tr>
        <w:tc>
          <w:tcPr/>
          <w:p>
            <w:pPr>
              <w:pStyle w:val="Compact"/>
              <w:jc w:val="left"/>
            </w:pPr>
            <w:r>
              <w:t xml:space="preserve">#1</w:t>
            </w:r>
          </w:p>
        </w:tc>
        <w:tc>
          <w:tcPr/>
          <w:p>
            <w:pPr>
              <w:pStyle w:val="Compact"/>
              <w:jc w:val="left"/>
            </w:pPr>
            <w:r>
              <w:t xml:space="preserve">((title:(farm* OR cage* OR pens OR penned OR pen OR aquacultur* OR commercial</w:t>
            </w:r>
            <w:r>
              <w:rPr>
                <w:iCs/>
                <w:i/>
              </w:rPr>
              <w:t xml:space="preserve">)) OR (abstract:(farm</w:t>
            </w:r>
            <w:r>
              <w:t xml:space="preserve"> </w:t>
            </w:r>
            <w:r>
              <w:t xml:space="preserve">OR cage* OR pens OR penned OR pen OR aquacultur* OR commercial</w:t>
            </w:r>
            <w:r>
              <w:rPr>
                <w:iCs/>
                <w:i/>
              </w:rPr>
              <w:t xml:space="preserve">)) OR (keyword:(farm</w:t>
            </w:r>
            <w:r>
              <w:t xml:space="preserve"> </w:t>
            </w:r>
            <w:r>
              <w:t xml:space="preserve">OR cage* OR pens OR penned OR pen OR aquacultur* OR commercial*)))</w:t>
            </w:r>
          </w:p>
        </w:tc>
        <w:tc>
          <w:tcPr/>
          <w:p>
            <w:pPr>
              <w:pStyle w:val="Compact"/>
              <w:jc w:val="left"/>
            </w:pPr>
            <w:r>
              <w:t xml:space="preserve">4,664,409</w:t>
            </w:r>
          </w:p>
        </w:tc>
      </w:tr>
      <w:tr>
        <w:tc>
          <w:tcPr/>
          <w:p>
            <w:pPr>
              <w:pStyle w:val="Compact"/>
              <w:jc w:val="left"/>
            </w:pPr>
            <w:r>
              <w:t xml:space="preserve">#2</w:t>
            </w:r>
          </w:p>
        </w:tc>
        <w:tc>
          <w:tcPr/>
          <w:p>
            <w:pPr>
              <w:pStyle w:val="Compact"/>
              <w:jc w:val="left"/>
            </w:pPr>
            <w:r>
              <w:t xml:space="preserve">((title:(salmon OR Salmo OR Oncorhynchus)) OR (abstract:(salmon OR Salmo OR Oncorhynchus)) OR (keyword:(salmon OR Salmo OR Oncorhynchus)))</w:t>
            </w:r>
          </w:p>
        </w:tc>
        <w:tc>
          <w:tcPr/>
          <w:p>
            <w:pPr>
              <w:pStyle w:val="Compact"/>
              <w:jc w:val="left"/>
            </w:pPr>
            <w:r>
              <w:t xml:space="preserve">158,889</w:t>
            </w:r>
          </w:p>
        </w:tc>
      </w:tr>
      <w:tr>
        <w:tc>
          <w:tcPr/>
          <w:p>
            <w:pPr>
              <w:pStyle w:val="Compact"/>
              <w:jc w:val="left"/>
            </w:pPr>
            <w:r>
              <w:t xml:space="preserve">#3</w:t>
            </w:r>
          </w:p>
        </w:tc>
        <w:tc>
          <w:tcPr/>
          <w:p>
            <w:pPr>
              <w:pStyle w:val="Compact"/>
              <w:jc w:val="left"/>
            </w:pPr>
            <w:r>
              <w:t xml:space="preserve">#1 AND #2</w:t>
            </w:r>
          </w:p>
        </w:tc>
        <w:tc>
          <w:tcPr/>
          <w:p>
            <w:pPr>
              <w:pStyle w:val="Compact"/>
              <w:jc w:val="left"/>
            </w:pPr>
            <w:r>
              <w:t xml:space="preserve">24,343</w:t>
            </w:r>
          </w:p>
        </w:tc>
      </w:tr>
      <w:tr>
        <w:tc>
          <w:tcPr/>
          <w:p>
            <w:pPr>
              <w:pStyle w:val="Compact"/>
              <w:jc w:val="left"/>
            </w:pPr>
            <w:r>
              <w:t xml:space="preserve">#4</w:t>
            </w:r>
          </w:p>
        </w:tc>
        <w:tc>
          <w:tcPr/>
          <w:p>
            <w:pPr>
              <w:pStyle w:val="Compact"/>
              <w:jc w:val="left"/>
            </w:pPr>
            <w:r>
              <w:t xml:space="preserve">#3 filtered &gt; excl. dataset, excl. report, excl. libguide, excl. news</w:t>
            </w:r>
          </w:p>
        </w:tc>
        <w:tc>
          <w:tcPr/>
          <w:p>
            <w:pPr>
              <w:pStyle w:val="Compact"/>
              <w:jc w:val="left"/>
            </w:pPr>
            <w:r>
              <w:t xml:space="preserve">23,852</w:t>
            </w:r>
          </w:p>
        </w:tc>
      </w:tr>
    </w:tbl>
    <w:p>
      <w:pPr>
        <w:pStyle w:val="BodyText"/>
      </w:pPr>
      <w:r>
        <w:t xml:space="preserve">The living evidence map was subsequently expanded to retrieve bibliographic records independently from the following databases, all accessed via their APIs:</w:t>
      </w:r>
    </w:p>
    <w:p>
      <w:pPr>
        <w:numPr>
          <w:ilvl w:val="0"/>
          <w:numId w:val="1003"/>
        </w:numPr>
        <w:pStyle w:val="Compact"/>
      </w:pPr>
      <w:r>
        <w:t xml:space="preserve">The Lens (filtered to exclude datasets, reports, libguides, news)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Core Collection (Science Citation Index Expanded (SCI-EXPANDED) 1981-present, Social Sciences Citation Index (SSCI) 1981-present, Arts &amp; Humanities Citation Index (AHCI) 2017-present, Emerging Sources Citation Index (ESCI) 2005-present)</w:t>
      </w:r>
    </w:p>
    <w:p>
      <w:pPr>
        <w:numPr>
          <w:ilvl w:val="0"/>
          <w:numId w:val="1003"/>
        </w:numPr>
        <w:pStyle w:val="Compact"/>
      </w:pPr>
      <w:r>
        <w:t xml:space="preserve">AGRICOLA</w:t>
      </w:r>
      <w:r>
        <w:t xml:space="preserve"> </w:t>
      </w:r>
      <w:r>
        <w:t xml:space="preserve">Database-specific implementations were derived from the same underlying conceptual search and adapted to the syntax and indexing of each source. Search strings are stored as version-controlled user inputs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This report is based on searches performed on 22nd September 2026.</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explicitly concerning farmed salmonids but lacking sufficient information for species-level assignment may be retained as unspecified species.</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4"/>
        </w:numPr>
        <w:pStyle w:val="Compact"/>
      </w:pPr>
      <w:r>
        <w:t xml:space="preserve">Hatchery studies were excluded where it was not clear that fish were being reared for aquaculture rather than for population enhancement, stocking or ranching.</w:t>
      </w:r>
    </w:p>
    <w:p>
      <w:pPr>
        <w:numPr>
          <w:ilvl w:val="0"/>
          <w:numId w:val="1004"/>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4"/>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4"/>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4"/>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2026-09-28T17:36:25Z</dcterms:created>
  <dcterms:modified xsi:type="dcterms:W3CDTF">2026-09-28T17:36:25Z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