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9. Conclusion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demonstrates how a Scripted Access Control List can be used in ServiceNow to restrict record access based on field values. Instead of relying only on broad role-based access, the ACL can evaluate information stored in the current record and make an access decision according to the configured requirement.</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provides a structured approach to field-value-based record security.</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Scripted ACL evaluates the selected field during access control processing.</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demonstrates both allowed and restricted access scenarios.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phase-wise implementation covers ideation, requirements, design, planning, development, testing, documentation, and demonstration.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approach can be adapted to other ServiceNow tables and security requirements.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Enhancements:</w:t>
        <w:br/>
        <w:t xml:space="preserve">1. Support multiple field-value conditions in a single security requirement.</w:t>
        <w:br/>
        <w:t xml:space="preserve">2. Combine field-value checks with roles, groups, or user-specific conditions.</w:t>
        <w:br/>
        <w:t xml:space="preserve">3. Configure separate ACLs for Read, Write, Create, and Delete operations.</w:t>
        <w:br/>
        <w:t xml:space="preserve">4. Add additional test users and records for broader validation.</w:t>
        <w:br/>
        <w:t xml:space="preserve">5. Create reusable security logic for larger ServiceNow applications.</w:t>
        <w:br/>
        <w:t xml:space="preserve">6. Maintain detailed security documentation and test evidence for future changes.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Screenshots / Evidence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