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лейтмотив</w:t>
      </w:r>
    </w:p>
    <w:p>
      <w:pPr>
        <w:pStyle w:val="BodyText"/>
      </w:pPr>
    </w:p>
    <w:p>
      <w:pPr>
        <w:pStyle w:val="Heading1"/>
      </w:pPr>
      <w:r>
        <w:t>Левый контекст</w:t>
      </w:r>
    </w:p>
    <w:p>
      <w:pPr>
        <w:pStyle w:val="BodyText"/>
      </w:pPr>
    </w:p>
    <w:p>
      <w:pPr>
        <w:pStyle w:val="BodyText"/>
      </w:pPr>
      <w:r>
        <w:t>являться, лейтмотив 2</w:t>
      </w:r>
    </w:p>
    <w:p>
      <w:pPr>
        <w:pStyle w:val="BodyText"/>
      </w:pPr>
    </w:p>
    <w:p>
      <w:pPr>
        <w:pStyle w:val="Heading2"/>
      </w:pPr>
      <w:r>
        <w:t>Уникальные:</w:t>
      </w:r>
    </w:p>
    <w:p>
      <w:pPr>
        <w:pStyle w:val="BodyText"/>
      </w:pPr>
    </w:p>
    <w:p>
      <w:pPr>
        <w:pStyle w:val="BodyText"/>
      </w:pPr>
      <w:r>
        <w:t>1) звучать, лейтмотив; 2) оскорблять, лейтмотив; 3) становиться, лейтмотив;</w:t>
      </w:r>
    </w:p>
    <w:p>
      <w:pPr>
        <w:pStyle w:val="BodyText"/>
      </w:pPr>
    </w:p>
    <w:p>
      <w:pPr>
        <w:pStyle w:val="Heading1"/>
      </w:pPr>
      <w:r>
        <w:t>Правый контекст</w:t>
      </w:r>
    </w:p>
    <w:p>
      <w:pPr>
        <w:pStyle w:val="BodyText"/>
      </w:pPr>
    </w:p>
    <w:p>
      <w:pPr>
        <w:pStyle w:val="Heading2"/>
      </w:pPr>
      <w:r>
        <w:t>Уникальные:</w:t>
      </w:r>
    </w:p>
    <w:p>
      <w:pPr>
        <w:pStyle w:val="BodyText"/>
      </w:pPr>
    </w:p>
    <w:p>
      <w:pPr>
        <w:pStyle w:val="BodyText"/>
      </w:pPr>
      <w:r>
        <w:t>1) лейтмотив, глава; 2) лейтмотив, данный; 3) лейтмотив, начало; 4) лейтмотив, повествование; 5) лейтмотив, пронизывать;</w:t>
      </w:r>
    </w:p>
    <w:p>
      <w:pPr>
        <w:pStyle w:val="BodyText"/>
      </w:pPr>
    </w:p>
    <w:p>
      <w:pPr>
        <w:pStyle w:val="Heading1"/>
      </w:pPr>
      <w:r>
        <w:t>Прилагательное</w:t>
      </w:r>
    </w:p>
    <w:p>
      <w:pPr>
        <w:pStyle w:val="BodyText"/>
      </w:pPr>
    </w:p>
    <w:p>
      <w:pPr>
        <w:pStyle w:val="Heading2"/>
      </w:pPr>
      <w:r>
        <w:t>Уникальные:</w:t>
      </w:r>
    </w:p>
    <w:p>
      <w:pPr>
        <w:pStyle w:val="BodyText"/>
      </w:pPr>
    </w:p>
    <w:p>
      <w:pPr>
        <w:pStyle w:val="BodyText"/>
      </w:pPr>
      <w:r>
        <w:t>1) общепринятый, лейтмотив; 2) страшный, лейтмотив; 3) униженный, лейтмотив;</w:t>
      </w:r>
    </w:p>
    <w:p>
      <w:pPr>
        <w:pStyle w:val="BodyText"/>
      </w:pPr>
    </w:p>
    <w:p>
      <w:pPr>
        <w:pStyle w:val="Heading1"/>
      </w:pPr>
      <w:r>
        <w:t>Существительное слева</w:t>
      </w:r>
    </w:p>
    <w:p>
      <w:pPr>
        <w:pStyle w:val="BodyText"/>
      </w:pPr>
    </w:p>
    <w:p>
      <w:pPr>
        <w:pStyle w:val="Heading2"/>
      </w:pPr>
      <w:r>
        <w:t>Уникальные:</w:t>
      </w:r>
    </w:p>
    <w:p>
      <w:pPr>
        <w:pStyle w:val="BodyText"/>
      </w:pPr>
    </w:p>
    <w:p>
      <w:pPr>
        <w:pStyle w:val="BodyText"/>
      </w:pPr>
      <w:r>
        <w:t>1) глава, лейтмотив; 2) зосима, лейтмотив; 3) лейтмотив, лейтмотив; 4) мир, лейтмотив; 5) непонимание, лейтмотив; 6) радость, лейтмотив; 7) роман, лейтмотив; 8) суд, лейтмотив; 9) тема, лейтмотив;</w:t>
      </w:r>
    </w:p>
    <w:p>
      <w:pPr>
        <w:pStyle w:val="BodyText"/>
      </w:pPr>
    </w:p>
    <w:p>
      <w:pPr>
        <w:pStyle w:val="Heading1"/>
      </w:pPr>
      <w:r>
        <w:t>Существительное справа</w:t>
      </w:r>
    </w:p>
    <w:p>
      <w:pPr>
        <w:pStyle w:val="BodyText"/>
      </w:pPr>
    </w:p>
    <w:p>
      <w:pPr>
        <w:pStyle w:val="BodyText"/>
      </w:pPr>
      <w:r>
        <w:t>лейтмотив, повествование 2</w:t>
      </w:r>
    </w:p>
    <w:p>
      <w:pPr>
        <w:pStyle w:val="BodyText"/>
      </w:pPr>
    </w:p>
    <w:p>
      <w:pPr>
        <w:pStyle w:val="Heading2"/>
      </w:pPr>
      <w:r>
        <w:t>Уникальные:</w:t>
      </w:r>
    </w:p>
    <w:p>
      <w:pPr>
        <w:pStyle w:val="BodyText"/>
      </w:pPr>
    </w:p>
    <w:p>
      <w:pPr>
        <w:pStyle w:val="BodyText"/>
      </w:pPr>
      <w:r>
        <w:t>1) лейтмотив, глава; 2) лейтмотив, иисус; 3) лейтмотив, книга; 4) лейтмотив, конец; 5) лейтмотив, лейтмотив; 6) лейтмотив, мотив; 7) лейтмотив, начало; 8) лейтмотив, ответ; 9) лейтмотив, роман; 10) лейтмотив, секвенция; 11) лейтмотив, сцена;</w:t>
      </w:r>
    </w:p>
    <w:p>
      <w:pPr>
        <w:pStyle w:val="BodyText"/>
      </w:pPr>
    </w:p>
    <w:p>
      <w:pPr>
        <w:pStyle w:val="BodyText"/>
      </w:pPr>
      <w:r>
        <w:t>1.</w:t>
        <w:br/>
        <w:t>м стихе первой</w:t>
        <w:br/>
        <w:t xml:space="preserve">  главы: “В мире был, и мир произошел чрез Него, и мир Его не познал”.</w:t>
        <w:br/>
        <w:t xml:space="preserve">  Непонимание является лейтмотивом всего повествования: “Иисус сказал им в</w:t>
        <w:br/>
        <w:t xml:space="preserve">  ответ: разрушьте храм сей; и Я в три дня воздвигну его. На это сказали</w:t>
        <w:br/>
        <w:t xml:space="preserve"> В. В. Дудкин. Достоевский и Евангелие от Иоанна. 1998№5</w:t>
      </w:r>
    </w:p>
    <w:p>
      <w:pPr>
        <w:pStyle w:val="BodyText"/>
      </w:pPr>
    </w:p>
    <w:p>
      <w:pPr>
        <w:pStyle w:val="BodyText"/>
      </w:pPr>
      <w:r>
        <w:t>2.</w:t>
        <w:br/>
        <w:t>произведении Верди, посвященном памяти Россини и Мандзони и написанном</w:t>
        <w:br/>
        <w:t xml:space="preserve">  для хора и четырех солистов, тема Страшного Суда Dies irae звучит</w:t>
        <w:br/>
        <w:t xml:space="preserve">  лейтмотивом — в начале и в конце секвенции, что противоречит канону.</w:t>
        <w:br/>
        <w:t xml:space="preserve">  Заключительный раздел Libera me исполняется сопрано — это молитва об</w:t>
        <w:br/>
        <w:t xml:space="preserve">  избавлении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</w:p>
    <w:p>
      <w:pPr>
        <w:pStyle w:val="BodyText"/>
      </w:pPr>
      <w:r>
        <w:t>3.</w:t>
        <w:br/>
        <w:t xml:space="preserve"> к роману Достоевского евангельская притча</w:t>
        <w:br/>
        <w:t xml:space="preserve">  выступает в роли порождающего текста.</w:t>
        <w:br/>
        <w:t xml:space="preserve">  Мотив «блудной дочери» становится в романе «Униженные и оскорбленные»</w:t>
        <w:br/>
        <w:t xml:space="preserve">  лейтмотивом, пронизывая все повествование. Этот мотив аккомпанирует</w:t>
        <w:br/>
        <w:t xml:space="preserve">  сюжетной линии Наташи в эпизоде чтения стихотворения Я. Полонского</w:t>
        <w:br/>
        <w:t xml:space="preserve">  «Колокольчик»[11], который не 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</w:p>
    <w:p>
      <w:pPr>
        <w:pStyle w:val="BodyText"/>
      </w:pPr>
      <w:r>
        <w:t>4.</w:t>
        <w:br/>
        <w:t xml:space="preserve"> Митя… (14, 326)</w:t>
        <w:br/>
        <w:t xml:space="preserve">  Алеша вспоминает, что проповедь радости была одним из важнейших заветов</w:t>
        <w:br/>
        <w:t xml:space="preserve">  старца Зосимы. Общепринято, что радость стала лейтмотивом этой главы:</w:t>
        <w:br/>
        <w:t xml:space="preserve">  “Она является лейтмотивом данной сцены, этой Книги, и, возможно, всего</w:t>
        <w:br/>
        <w:t xml:space="preserve">  романа в целом”¹³.</w:t>
        <w:br/>
        <w:t xml:space="preserve">  431</w:t>
        <w:br/>
        <w:t xml:space="preserve">  Помимо темы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</w:p>
    <w:p>
      <w:pPr>
        <w:pStyle w:val="BodyText"/>
      </w:pPr>
      <w:r>
        <w:t>5.</w:t>
        <w:br/>
        <w:t>, что проповедь радости была одним из важнейших заветов</w:t>
        <w:br/>
        <w:t xml:space="preserve">  старца Зосимы. Общепринято, что радость стала лейтмотивом этой главы:</w:t>
        <w:br/>
        <w:t xml:space="preserve">  “Она является лейтмотивом данной сцены, этой Книги, и, возможно, всего</w:t>
        <w:br/>
        <w:t xml:space="preserve">  романа в целом”¹³.</w:t>
        <w:br/>
        <w:t xml:space="preserve">  431</w:t>
        <w:br/>
        <w:t xml:space="preserve">  Помимо темы радости, декан Стенли говорит в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