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тварь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дрожать, тварь 3</w:t>
        <w:br/>
        <w:t>жалость, тварь 2</w:t>
        <w:br/>
        <w:t>теория, тварь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воссоздание, тварь; 2) демон, тварь; 3) любить, тварь; 4) любовь, тварь; 5) приуготовлять, тварь;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тварь, муравейник 2</w:t>
        <w:br/>
        <w:t>тварь, дрожать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тварь, бессловесный; 2) тварь, делать; 3) тварь, достоевский; 4) тварь, конец; 5) тварь, любить; 6) тварь, переход; 7) тварь, различие; 8) тварь, спасение;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вечный, тварь; 2) временный, тварь; 3) космический, тварь; 4) неограниченный, тварь; 5) христоликий, тварь;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мысль, тварь 3</w:t>
        <w:br/>
        <w:t>власть, тварь 3</w:t>
        <w:br/>
        <w:t>человек, тварь 2</w:t>
        <w:br/>
        <w:t>птица, тварь 2</w:t>
        <w:br/>
        <w:t>жалость, тварь 2</w:t>
        <w:br/>
        <w:t>теория, тварь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вопрос, тварь; 2) воссоздание, тварь; 3) герой, тварь; 4) грешник, тварь; 5) демон, тварь; 6) деньги, тварь; 7) животное, тварь; 8) земля, тварь; 9) любовь, тварь; 10) небо, тварь; 11) процентщица, тварь; 12) рыба, тварь; 13) с, тварь; 14) сердце, тварь; 15) спасение, тварь; 16) старуха, тварь;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тварь, муравейник 2</w:t>
        <w:br/>
        <w:t>тварь, цель 2</w:t>
        <w:br/>
        <w:t>тварь, конец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тварь, бог; 2) тварь, богослов; 3) тварь, власть; 4) тварь, воля; 5) тварь, враг; 6) тварь, достоевский; 7) тварь, жалость; 8) тварь, жизнь; 9) тварь, зосима; 10) тварь, и; 11) тварь, истина; 12) тварь, мнение; 13) тварь, отец; 14) тварь, переход; 15) тварь, преступление; 16) тварь, приуготовление; 17) тварь, различие; 18) тварь, свобода; 19) тварь, спасение; 20) тварь, философ; 21) тварь, франциск; 22) тварь, христос; 23) тварь, часть; 24) тварь, человек;</w:t>
      </w:r>
    </w:p>
    <w:p>
      <w:pPr>
        <w:pStyle w:val="BodyText"/>
      </w:pPr>
      <w:r>
        <w:t>1.</w:t>
        <w:br/>
        <w:t xml:space="preserve"> Евангелия Раскольников отнюдь не</w:t>
        <w:br/>
        <w:t xml:space="preserve">  “воскресает” к новой жизни (подобно Лазарю), но возвращается к мысли о</w:t>
        <w:br/>
        <w:t xml:space="preserve">  власти “над всей дрожащею тварью и над всем муравейником” как своей</w:t>
        <w:br/>
        <w:t xml:space="preserve">  “цели”? (“Свобода и власть, а главное власть! &lt;…&gt; Вот цель! Помни это.</w:t>
        <w:br/>
        <w:t xml:space="preserve">  Это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2.</w:t>
        <w:br/>
        <w:t>Откр. 21:1).</w:t>
        <w:br/>
        <w:t xml:space="preserve">  Оно служило своего рода связующим звеном “между временным и вечным,</w:t>
        <w:br/>
        <w:t xml:space="preserve">  между землей и небом”, приуготовляя всю тварь к “переходу от временной к</w:t>
        <w:br/>
        <w:t xml:space="preserve">  вечной жизни”⁷.</w:t>
        <w:br/>
        <w:t xml:space="preserve">  Именно к такой экзегезе тысячелетнего царствия и примыкал Достоевский⁸,</w:t>
        <w:br/>
        <w:t xml:space="preserve">  закладывая основы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>своего соборного</w:t>
        <w:br/>
        <w:t xml:space="preserve">  разрешения: это “вопросы антропологии, о соотношении сил человека и</w:t>
        <w:br/>
        <w:t xml:space="preserve">  благодати в деле спасения, вопрос космический, о воссоздании всей твари</w:t>
        <w:br/>
        <w:t xml:space="preserve">  чрез спасение человека”¹². Философ и богослов В. А. Тернавцев,</w:t>
        <w:br/>
        <w:t xml:space="preserve">  деятельный участник Петербургских</w:t>
        <w:br/>
        <w:t xml:space="preserve">  религиозно-философскихсобраний1901—1902 годов,дал тогда короткую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Преступления и наказания”,</w:t>
        <w:br/>
        <w:t xml:space="preserve">  раскалывая его. Он избирает путь человекобожеский и через преступление</w:t>
        <w:br/>
        <w:t xml:space="preserve">  пытается установить свою неограниченную власть над всей “дрожащей</w:t>
        <w:br/>
        <w:t xml:space="preserve">  тварью”.</w:t>
        <w:br/>
        <w:t xml:space="preserve">  В конце заключительной части “Преступления и наказания” говорится, что</w:t>
        <w:br/>
        <w:t xml:space="preserve">  после долгой и серьезной болезни, перенесенной Раскольниковым в остроге,</w:t>
        <w:br/>
        <w:t xml:space="preserve">  вдруг</w:t>
        <w:br/>
        <w:t xml:space="preserve"> Д. Григорьев. Евангелие и Раскольников. 2005№7</w:t>
      </w:r>
    </w:p>
    <w:p>
      <w:pPr>
        <w:pStyle w:val="BodyText"/>
      </w:pPr>
      <w:r>
        <w:t>5.</w:t>
        <w:br/>
        <w:t>сердце</w:t>
        <w:br/>
        <w:t xml:space="preserve">  разгорается любовью, жалостью и умилением — «о всем творении — о людях,</w:t>
        <w:br/>
        <w:t xml:space="preserve">  о птицах, о животных, о демонах и о всей твари», — и «вследствие этого о</w:t>
        <w:br/>
        <w:t xml:space="preserve">  бессловесных, и о врагах Истины, и о вредящих ему ежечасно со слезами</w:t>
        <w:br/>
        <w:t xml:space="preserve">  приносит молитву, чтобы они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6.</w:t>
        <w:br/>
        <w:t>ему ежечасно со слезами</w:t>
        <w:br/>
        <w:t xml:space="preserve">  приносит молитву, чтобы они были хранимы, и чтобы им быть</w:t>
        <w:br/>
        <w:t xml:space="preserve">  помилованными»15. Эта «жалость ко всей твари» у Достоевского</w:t>
        <w:br/>
        <w:t xml:space="preserve">  простирается до конца — до жалости к падшим духам. «Я ведь знаю, в</w:t>
        <w:br/>
        <w:t xml:space="preserve">  конце концов я помирюсь, дойду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7.</w:t>
        <w:br/>
        <w:t xml:space="preserve"> волей</w:t>
        <w:br/>
        <w:t xml:space="preserve">  человека). Потому праведники Достоевского и молятся за самоубийц и за</w:t>
        <w:br/>
        <w:t xml:space="preserve">  всех</w:t>
        <w:br/>
        <w:t xml:space="preserve">  грешников — их сердца наполнены «жалостью ко всей твари», и они это</w:t>
        <w:br/>
        <w:t xml:space="preserve">  делают, исполняя Господню волю.</w:t>
        <w:br/>
        <w:t xml:space="preserve">  Представление о духовном состоянии человека за гробом, в частности о</w:t>
        <w:br/>
        <w:t xml:space="preserve">  возможности возжелать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8.</w:t>
        <w:br/>
        <w:t>жестокости» сострадательнодеятельной любви, как было бы</w:t>
        <w:br/>
        <w:t xml:space="preserve">    трудно представить Зосиму проповедующим рыбам и птицам при всей его</w:t>
        <w:br/>
        <w:t xml:space="preserve">    любви ко всякой твари. Различия в Зосиме и Франциске вытекают из их</w:t>
        <w:br/>
        <w:t xml:space="preserve">    опыта жизни в духе, из разных символов веры⁹. Показательно, что Зосима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9.</w:t>
        <w:br/>
        <w:t>Соней Евангелия</w:t>
        <w:br/>
        <w:t xml:space="preserve">  Раскольников «отнюдь не “воскресает” к новой жизни (подобно Лазарю), но</w:t>
        <w:br/>
        <w:t xml:space="preserve">  возвращается к мысли о власти “над всей дрожащею тварью и над всем</w:t>
        <w:br/>
        <w:t xml:space="preserve">  муравейником” как своей “цели”». По мнению И. А. Есаулова, следует</w:t>
        <w:br/>
        <w:t xml:space="preserve">  учесть, что «на православной литургии воскресение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10.</w:t>
        <w:br/>
        <w:t>, память и др.</w:t>
        <w:br/>
        <w:t xml:space="preserve">  С чего начинается преступление Родиона Раскольникова?</w:t>
        <w:br/>
        <w:t xml:space="preserve">  С мысли о деньгах? Нет.</w:t>
        <w:br/>
        <w:t xml:space="preserve">  С его теории «о тварях дрожащих и право имеющих»? Нет.</w:t>
        <w:br/>
        <w:t xml:space="preserve">  Святые отцы обращают внимание, что прилог может появиться</w:t>
        <w:br/>
        <w:t xml:space="preserve">  с неблаговидного чувства, зародившегося в сердце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11.</w:t>
        <w:br/>
        <w:t>для совершения греха [Шиманский: 188].</w:t>
        <w:br/>
        <w:t xml:space="preserve">  У Раскольникова за полгода до знакомства со старухой-процентщицей</w:t>
        <w:br/>
        <w:t xml:space="preserve">  и появилась его «теория» о «тварях дрожащих и право имеющих». Это и есть</w:t>
        <w:br/>
        <w:t xml:space="preserve">  его приуготовление ко греху, теоретическое обоснование «крови по</w:t>
        <w:br/>
        <w:t xml:space="preserve">  совести».</w:t>
        <w:br/>
        <w:t xml:space="preserve">  Сам прилог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12.</w:t>
        <w:br/>
        <w:t>Макар Иванович, основа всей жизни</w:t>
        <w:br/>
        <w:t xml:space="preserve">  которых — любовь — деятельная любовь к Богу:</w:t>
        <w:br/>
        <w:t xml:space="preserve">    …христоликие герои его любят всех людей, любят всю тварь, ибо любят</w:t>
        <w:br/>
        <w:t xml:space="preserve">    чудесного Бога-Христа…¹⁸</w:t>
        <w:br/>
        <w:t xml:space="preserve">  Преподобный Иустин уделяет особое внимание проблеме человека в</w:t>
        <w:br/>
        <w:t xml:space="preserve">  европейском контексте, он критикует излишнее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